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D70EF" w14:textId="77777777" w:rsidR="00D56424" w:rsidRDefault="00D56424" w:rsidP="00D56424">
      <w:pPr>
        <w:rPr>
          <w:lang w:val="en-US"/>
        </w:rPr>
      </w:pPr>
    </w:p>
    <w:p w14:paraId="68F4C5DA" w14:textId="5334F2F0" w:rsidR="00D56424" w:rsidRDefault="00D56424" w:rsidP="00D56424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</w:t>
      </w:r>
      <w:r w:rsidR="00CA7002">
        <w:rPr>
          <w:rFonts w:ascii="Times New Roman" w:hAnsi="Times New Roman" w:cs="Times New Roman"/>
          <w:b/>
          <w:bCs/>
          <w:sz w:val="22"/>
          <w:szCs w:val="22"/>
          <w:lang w:val="en-US"/>
        </w:rPr>
        <w:t>3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941AC0">
        <w:rPr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US"/>
        </w:rPr>
        <w:t>Serum vitamin D levels, daily screen time, and daily outdoor activities in children with different subtypes of tic disorders</w:t>
      </w:r>
    </w:p>
    <w:tbl>
      <w:tblPr>
        <w:tblStyle w:val="PlainTable21"/>
        <w:tblpPr w:leftFromText="181" w:rightFromText="181" w:vertAnchor="text" w:horzAnchor="margin" w:tblpY="126"/>
        <w:tblOverlap w:val="never"/>
        <w:tblW w:w="9771" w:type="dxa"/>
        <w:tblLook w:val="04A0" w:firstRow="1" w:lastRow="0" w:firstColumn="1" w:lastColumn="0" w:noHBand="0" w:noVBand="1"/>
      </w:tblPr>
      <w:tblGrid>
        <w:gridCol w:w="2444"/>
        <w:gridCol w:w="1586"/>
        <w:gridCol w:w="1533"/>
        <w:gridCol w:w="1533"/>
        <w:gridCol w:w="1066"/>
        <w:gridCol w:w="737"/>
        <w:gridCol w:w="872"/>
      </w:tblGrid>
      <w:tr w:rsidR="0007248F" w14:paraId="58789CCD" w14:textId="77777777" w:rsidTr="000724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noWrap/>
          </w:tcPr>
          <w:p w14:paraId="745B1EB5" w14:textId="77777777" w:rsidR="0007248F" w:rsidRDefault="0007248F" w:rsidP="0007248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1586" w:type="dxa"/>
          </w:tcPr>
          <w:p w14:paraId="66B5F03A" w14:textId="77777777" w:rsidR="0007248F" w:rsidRDefault="0007248F" w:rsidP="0007248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TTD (186)</w:t>
            </w:r>
          </w:p>
        </w:tc>
        <w:tc>
          <w:tcPr>
            <w:tcW w:w="1533" w:type="dxa"/>
          </w:tcPr>
          <w:p w14:paraId="6CCDD62E" w14:textId="77777777" w:rsidR="0007248F" w:rsidRDefault="0007248F" w:rsidP="0007248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CTD (53)</w:t>
            </w:r>
          </w:p>
        </w:tc>
        <w:tc>
          <w:tcPr>
            <w:tcW w:w="1533" w:type="dxa"/>
          </w:tcPr>
          <w:p w14:paraId="2F9E9F3E" w14:textId="77777777" w:rsidR="0007248F" w:rsidRDefault="0007248F" w:rsidP="0007248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TS (103)</w:t>
            </w:r>
          </w:p>
        </w:tc>
        <w:tc>
          <w:tcPr>
            <w:tcW w:w="1066" w:type="dxa"/>
          </w:tcPr>
          <w:p w14:paraId="734FE32A" w14:textId="77777777" w:rsidR="0007248F" w:rsidRDefault="0007248F" w:rsidP="0007248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(342)</w:t>
            </w:r>
          </w:p>
        </w:tc>
        <w:tc>
          <w:tcPr>
            <w:tcW w:w="737" w:type="dxa"/>
          </w:tcPr>
          <w:p w14:paraId="5ACAB3B3" w14:textId="77777777" w:rsidR="0007248F" w:rsidRDefault="0007248F" w:rsidP="0007248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</w:t>
            </w:r>
          </w:p>
        </w:tc>
        <w:tc>
          <w:tcPr>
            <w:tcW w:w="872" w:type="dxa"/>
          </w:tcPr>
          <w:p w14:paraId="2D5CB42B" w14:textId="77777777" w:rsidR="0007248F" w:rsidRDefault="0007248F" w:rsidP="0007248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P-</w:t>
            </w:r>
            <w:r>
              <w:rPr>
                <w:rFonts w:ascii="Times New Roman" w:hAnsi="Times New Roman" w:cs="Times New Roman"/>
                <w:lang w:val="en-GB"/>
              </w:rPr>
              <w:t>value</w:t>
            </w:r>
          </w:p>
        </w:tc>
      </w:tr>
      <w:tr w:rsidR="0007248F" w14:paraId="5AAD6FBF" w14:textId="77777777" w:rsidTr="0007248F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  <w:gridSpan w:val="7"/>
          </w:tcPr>
          <w:p w14:paraId="262453BE" w14:textId="77777777" w:rsidR="0007248F" w:rsidRDefault="0007248F" w:rsidP="0007248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</w:rPr>
              <w:t>Vitamin D status</w:t>
            </w:r>
          </w:p>
        </w:tc>
      </w:tr>
      <w:tr w:rsidR="0007248F" w14:paraId="1BD47186" w14:textId="77777777" w:rsidTr="0007248F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</w:tcPr>
          <w:p w14:paraId="4AA4D66A" w14:textId="77777777" w:rsidR="0007248F" w:rsidRDefault="0007248F" w:rsidP="00072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Optimal 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(%)</w:t>
            </w:r>
          </w:p>
        </w:tc>
        <w:tc>
          <w:tcPr>
            <w:tcW w:w="1586" w:type="dxa"/>
            <w:noWrap/>
          </w:tcPr>
          <w:p w14:paraId="30C28D28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</w:rPr>
              <w:t>29 (15.3)</w:t>
            </w:r>
          </w:p>
        </w:tc>
        <w:tc>
          <w:tcPr>
            <w:tcW w:w="1533" w:type="dxa"/>
            <w:noWrap/>
          </w:tcPr>
          <w:p w14:paraId="32ADF98B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</w:rPr>
              <w:t>13 (24.5)</w:t>
            </w:r>
          </w:p>
        </w:tc>
        <w:tc>
          <w:tcPr>
            <w:tcW w:w="1533" w:type="dxa"/>
            <w:noWrap/>
          </w:tcPr>
          <w:p w14:paraId="574B244F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</w:rPr>
              <w:t>12 (11.7)</w:t>
            </w:r>
          </w:p>
        </w:tc>
        <w:tc>
          <w:tcPr>
            <w:tcW w:w="1066" w:type="dxa"/>
            <w:noWrap/>
          </w:tcPr>
          <w:p w14:paraId="78BCCA3B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  <w:lang w:val="en-US"/>
              </w:rPr>
              <w:t>54 (15.8)</w:t>
            </w:r>
          </w:p>
        </w:tc>
        <w:tc>
          <w:tcPr>
            <w:tcW w:w="737" w:type="dxa"/>
          </w:tcPr>
          <w:p w14:paraId="7DA729F9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2" w:type="dxa"/>
            <w:noWrap/>
          </w:tcPr>
          <w:p w14:paraId="11022F12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</w:t>
            </w:r>
          </w:p>
        </w:tc>
      </w:tr>
      <w:tr w:rsidR="0007248F" w14:paraId="3EE07C29" w14:textId="77777777" w:rsidTr="0007248F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</w:tcPr>
          <w:p w14:paraId="4013ED0F" w14:textId="77777777" w:rsidR="0007248F" w:rsidRDefault="0007248F" w:rsidP="00072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Insufficient or deficient 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(%)</w:t>
            </w:r>
          </w:p>
        </w:tc>
        <w:tc>
          <w:tcPr>
            <w:tcW w:w="1586" w:type="dxa"/>
            <w:noWrap/>
          </w:tcPr>
          <w:p w14:paraId="577A27F2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</w:rPr>
              <w:t>157 (84.4)</w:t>
            </w:r>
          </w:p>
        </w:tc>
        <w:tc>
          <w:tcPr>
            <w:tcW w:w="1533" w:type="dxa"/>
            <w:noWrap/>
          </w:tcPr>
          <w:p w14:paraId="045B6468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</w:rPr>
              <w:t>40 (75.5)</w:t>
            </w:r>
          </w:p>
        </w:tc>
        <w:tc>
          <w:tcPr>
            <w:tcW w:w="1533" w:type="dxa"/>
            <w:noWrap/>
          </w:tcPr>
          <w:p w14:paraId="41279610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eastAsia="Times New Roman" w:hAnsi="Times New Roman" w:cs="Times New Roman"/>
              </w:rPr>
              <w:t>91 (88.3)</w:t>
            </w:r>
          </w:p>
        </w:tc>
        <w:tc>
          <w:tcPr>
            <w:tcW w:w="1066" w:type="dxa"/>
            <w:noWrap/>
          </w:tcPr>
          <w:p w14:paraId="26B4CB11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  <w:lang w:val="en-US"/>
              </w:rPr>
              <w:t>288 (84.2)</w:t>
            </w:r>
          </w:p>
        </w:tc>
        <w:tc>
          <w:tcPr>
            <w:tcW w:w="737" w:type="dxa"/>
          </w:tcPr>
          <w:p w14:paraId="00DF0A32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2" w:type="dxa"/>
            <w:noWrap/>
          </w:tcPr>
          <w:p w14:paraId="0796CA6D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07248F" w14:paraId="11399CFA" w14:textId="77777777" w:rsidTr="0007248F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</w:tcPr>
          <w:p w14:paraId="4507F797" w14:textId="77777777" w:rsidR="0007248F" w:rsidRDefault="0007248F" w:rsidP="00072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25(OH)D, (ng/ ml)</w:t>
            </w:r>
          </w:p>
        </w:tc>
        <w:tc>
          <w:tcPr>
            <w:tcW w:w="1586" w:type="dxa"/>
            <w:noWrap/>
          </w:tcPr>
          <w:p w14:paraId="5DB230F9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21.65 ± 12.09</w:t>
            </w:r>
          </w:p>
        </w:tc>
        <w:tc>
          <w:tcPr>
            <w:tcW w:w="1533" w:type="dxa"/>
            <w:noWrap/>
          </w:tcPr>
          <w:p w14:paraId="180DA77C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24.04 ± 13.09</w:t>
            </w:r>
          </w:p>
        </w:tc>
        <w:tc>
          <w:tcPr>
            <w:tcW w:w="1533" w:type="dxa"/>
            <w:noWrap/>
          </w:tcPr>
          <w:p w14:paraId="5EDF1085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21.68 ± 12.97</w:t>
            </w:r>
          </w:p>
        </w:tc>
        <w:tc>
          <w:tcPr>
            <w:tcW w:w="1066" w:type="dxa"/>
            <w:noWrap/>
          </w:tcPr>
          <w:p w14:paraId="2E899B4E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</w:tcPr>
          <w:p w14:paraId="7017C2C5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0.808</w:t>
            </w:r>
          </w:p>
        </w:tc>
        <w:tc>
          <w:tcPr>
            <w:tcW w:w="872" w:type="dxa"/>
            <w:noWrap/>
          </w:tcPr>
          <w:p w14:paraId="5A97EBB0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0.446</w:t>
            </w:r>
          </w:p>
        </w:tc>
      </w:tr>
      <w:tr w:rsidR="0007248F" w14:paraId="30ED008A" w14:textId="77777777" w:rsidTr="0007248F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</w:tcPr>
          <w:p w14:paraId="6A47D4B8" w14:textId="77777777" w:rsidR="0007248F" w:rsidRDefault="0007248F" w:rsidP="0007248F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</w:rPr>
              <w:t>Daily screen time</w:t>
            </w:r>
          </w:p>
        </w:tc>
        <w:tc>
          <w:tcPr>
            <w:tcW w:w="1586" w:type="dxa"/>
            <w:noWrap/>
          </w:tcPr>
          <w:p w14:paraId="60B895FF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104.07 ± 134.14</w:t>
            </w:r>
          </w:p>
        </w:tc>
        <w:tc>
          <w:tcPr>
            <w:tcW w:w="1533" w:type="dxa"/>
            <w:noWrap/>
          </w:tcPr>
          <w:p w14:paraId="245F3AD8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124.85 ± 150.10</w:t>
            </w:r>
          </w:p>
        </w:tc>
        <w:tc>
          <w:tcPr>
            <w:tcW w:w="1533" w:type="dxa"/>
            <w:noWrap/>
          </w:tcPr>
          <w:p w14:paraId="746136D3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133.19 ± 168.67</w:t>
            </w:r>
          </w:p>
        </w:tc>
        <w:tc>
          <w:tcPr>
            <w:tcW w:w="1066" w:type="dxa"/>
            <w:noWrap/>
          </w:tcPr>
          <w:p w14:paraId="50812BFF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vMerge w:val="restart"/>
          </w:tcPr>
          <w:p w14:paraId="0681AC7C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14:paraId="37C2B22A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1.397</w:t>
            </w:r>
          </w:p>
        </w:tc>
        <w:tc>
          <w:tcPr>
            <w:tcW w:w="872" w:type="dxa"/>
            <w:vMerge w:val="restart"/>
            <w:noWrap/>
          </w:tcPr>
          <w:p w14:paraId="4339DA09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14:paraId="1D6E70E0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0.249</w:t>
            </w:r>
          </w:p>
        </w:tc>
      </w:tr>
      <w:tr w:rsidR="0007248F" w14:paraId="035B0A32" w14:textId="77777777" w:rsidTr="0007248F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</w:tcPr>
          <w:p w14:paraId="0F3A8CB2" w14:textId="77777777" w:rsidR="0007248F" w:rsidRDefault="0007248F" w:rsidP="0007248F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Daily outdoor activities</w:t>
            </w:r>
          </w:p>
        </w:tc>
        <w:tc>
          <w:tcPr>
            <w:tcW w:w="1586" w:type="dxa"/>
            <w:noWrap/>
          </w:tcPr>
          <w:p w14:paraId="543444FB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81.43 ± 52.32</w:t>
            </w:r>
          </w:p>
        </w:tc>
        <w:tc>
          <w:tcPr>
            <w:tcW w:w="1533" w:type="dxa"/>
            <w:noWrap/>
          </w:tcPr>
          <w:p w14:paraId="7447337D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88.86 ± 57.11</w:t>
            </w:r>
          </w:p>
        </w:tc>
        <w:tc>
          <w:tcPr>
            <w:tcW w:w="1533" w:type="dxa"/>
            <w:noWrap/>
          </w:tcPr>
          <w:p w14:paraId="6A8F283C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75.83 ± 49.41</w:t>
            </w:r>
          </w:p>
        </w:tc>
        <w:tc>
          <w:tcPr>
            <w:tcW w:w="1066" w:type="dxa"/>
            <w:noWrap/>
          </w:tcPr>
          <w:p w14:paraId="1107804F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14:paraId="67D20980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2" w:type="dxa"/>
            <w:vMerge/>
            <w:noWrap/>
          </w:tcPr>
          <w:p w14:paraId="7FC3532E" w14:textId="77777777" w:rsidR="0007248F" w:rsidRDefault="0007248F" w:rsidP="0007248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925C88" w14:textId="77777777" w:rsidR="00D56424" w:rsidRDefault="00D56424" w:rsidP="00D56424">
      <w:pPr>
        <w:rPr>
          <w:lang w:val="en-US"/>
        </w:rPr>
      </w:pPr>
    </w:p>
    <w:p w14:paraId="2D67E872" w14:textId="77777777" w:rsidR="006D7E12" w:rsidRPr="005D7BCC" w:rsidRDefault="006D7E12" w:rsidP="006D7E1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50D7A">
        <w:rPr>
          <w:rFonts w:ascii="Times New Roman" w:hAnsi="Times New Roman" w:cs="Times New Roman"/>
          <w:sz w:val="22"/>
          <w:szCs w:val="22"/>
          <w:lang w:val="en-US"/>
        </w:rPr>
        <w:t>TTD; Transient tic disorder, CTD; Chronic tic disorder, TS; Tourette syndrome</w:t>
      </w:r>
    </w:p>
    <w:p w14:paraId="45B43527" w14:textId="77777777" w:rsidR="006D7E12" w:rsidRPr="00D56424" w:rsidRDefault="006D7E12" w:rsidP="00D56424">
      <w:pPr>
        <w:rPr>
          <w:lang w:val="en-US"/>
        </w:rPr>
      </w:pPr>
    </w:p>
    <w:sectPr w:rsidR="006D7E12" w:rsidRPr="00D56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24"/>
    <w:rsid w:val="0007248F"/>
    <w:rsid w:val="006D7E12"/>
    <w:rsid w:val="00CA7002"/>
    <w:rsid w:val="00CC17FF"/>
    <w:rsid w:val="00D56424"/>
    <w:rsid w:val="00EE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09B427"/>
  <w15:chartTrackingRefBased/>
  <w15:docId w15:val="{59CE4E75-4175-4B40-9E6E-DDA2D41E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24"/>
    <w:pPr>
      <w:spacing w:after="0" w:line="240" w:lineRule="auto"/>
    </w:pPr>
    <w:rPr>
      <w:lang w:val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64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4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42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42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42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42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42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42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42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4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4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4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N"/>
    </w:rPr>
  </w:style>
  <w:style w:type="character" w:customStyle="1" w:styleId="TitleChar">
    <w:name w:val="Title Char"/>
    <w:basedOn w:val="DefaultParagraphFont"/>
    <w:link w:val="Title"/>
    <w:uiPriority w:val="10"/>
    <w:rsid w:val="00D56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42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CN"/>
    </w:rPr>
  </w:style>
  <w:style w:type="character" w:customStyle="1" w:styleId="SubtitleChar">
    <w:name w:val="Subtitle Char"/>
    <w:basedOn w:val="DefaultParagraphFont"/>
    <w:link w:val="Subtitle"/>
    <w:uiPriority w:val="11"/>
    <w:rsid w:val="00D56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424"/>
    <w:pPr>
      <w:spacing w:before="160" w:after="160" w:line="278" w:lineRule="auto"/>
      <w:jc w:val="center"/>
    </w:pPr>
    <w:rPr>
      <w:i/>
      <w:iCs/>
      <w:color w:val="404040" w:themeColor="text1" w:themeTint="BF"/>
      <w:lang w:val="en-CN"/>
    </w:rPr>
  </w:style>
  <w:style w:type="character" w:customStyle="1" w:styleId="QuoteChar">
    <w:name w:val="Quote Char"/>
    <w:basedOn w:val="DefaultParagraphFont"/>
    <w:link w:val="Quote"/>
    <w:uiPriority w:val="29"/>
    <w:rsid w:val="00D56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424"/>
    <w:pPr>
      <w:spacing w:after="160" w:line="278" w:lineRule="auto"/>
      <w:ind w:left="720"/>
      <w:contextualSpacing/>
    </w:pPr>
    <w:rPr>
      <w:lang w:val="en-CN"/>
    </w:rPr>
  </w:style>
  <w:style w:type="character" w:styleId="IntenseEmphasis">
    <w:name w:val="Intense Emphasis"/>
    <w:basedOn w:val="DefaultParagraphFont"/>
    <w:uiPriority w:val="21"/>
    <w:qFormat/>
    <w:rsid w:val="00D56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4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424"/>
    <w:rPr>
      <w:b/>
      <w:bCs/>
      <w:smallCaps/>
      <w:color w:val="0F4761" w:themeColor="accent1" w:themeShade="BF"/>
      <w:spacing w:val="5"/>
    </w:rPr>
  </w:style>
  <w:style w:type="table" w:customStyle="1" w:styleId="PlainTable21">
    <w:name w:val="Plain Table 21"/>
    <w:basedOn w:val="TableNormal"/>
    <w:uiPriority w:val="42"/>
    <w:qFormat/>
    <w:rsid w:val="00D56424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</dc:creator>
  <cp:keywords/>
  <dc:description/>
  <cp:lastModifiedBy>Green</cp:lastModifiedBy>
  <cp:revision>5</cp:revision>
  <dcterms:created xsi:type="dcterms:W3CDTF">2024-06-04T10:07:00Z</dcterms:created>
  <dcterms:modified xsi:type="dcterms:W3CDTF">2024-06-04T10:17:00Z</dcterms:modified>
</cp:coreProperties>
</file>