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Spec="center" w:tblpY="-6130"/>
        <w:tblOverlap w:val="never"/>
        <w:tblW w:w="67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9"/>
        <w:gridCol w:w="2504"/>
        <w:gridCol w:w="2729"/>
        <w:gridCol w:w="1771"/>
        <w:gridCol w:w="1065"/>
        <w:gridCol w:w="551"/>
      </w:tblGrid>
      <w:tr w14:paraId="56529B3D">
        <w:tblPrEx>
          <w:shd w:val="clear" w:color="auto" w:fill="auto"/>
        </w:tblPrEx>
        <w:trPr>
          <w:trHeight w:val="23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88E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5"/>
                <w:szCs w:val="15"/>
                <w:lang w:val="en-US" w:eastAsia="zh-CN" w:bidi="ar"/>
              </w:rPr>
              <w:t xml:space="preserve">Supplementary </w:t>
            </w:r>
            <w:r>
              <w:rPr>
                <w:rFonts w:hint="eastAsia" w:ascii="Arial Regular" w:hAnsi="Arial Regular" w:eastAsia="宋体" w:cs="Arial Regular"/>
                <w:b/>
                <w:bCs/>
                <w:color w:val="auto"/>
                <w:kern w:val="0"/>
                <w:sz w:val="15"/>
                <w:szCs w:val="15"/>
                <w:lang w:val="en-US" w:eastAsia="zh-CN" w:bidi="ar"/>
              </w:rPr>
              <w:t>T</w:t>
            </w: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5"/>
                <w:szCs w:val="15"/>
                <w:lang w:val="en-US" w:eastAsia="zh-CN" w:bidi="ar"/>
              </w:rPr>
              <w:t xml:space="preserve">able 1. Laboratory findings, pathology, and outcomes of ILD associated with </w:t>
            </w:r>
            <w:r>
              <w:rPr>
                <w:rFonts w:hint="eastAsia" w:ascii="Arial Regular" w:hAnsi="Arial Regular" w:eastAsia="宋体" w:cs="Arial Regular"/>
                <w:b/>
                <w:bCs/>
                <w:i/>
                <w:iCs/>
                <w:color w:val="auto"/>
                <w:kern w:val="0"/>
                <w:sz w:val="15"/>
                <w:szCs w:val="15"/>
                <w:lang w:val="en-US" w:eastAsia="zh-CN" w:bidi="ar"/>
              </w:rPr>
              <w:t>SFTPC</w:t>
            </w: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hint="eastAsia" w:ascii="Arial Regular" w:hAnsi="Arial Regular" w:eastAsia="宋体" w:cs="Arial Regular"/>
                <w:b/>
                <w:bCs/>
                <w:i/>
                <w:iCs/>
                <w:color w:val="auto"/>
                <w:kern w:val="0"/>
                <w:sz w:val="15"/>
                <w:szCs w:val="15"/>
                <w:lang w:val="en-US" w:eastAsia="zh-CN" w:bidi="ar"/>
              </w:rPr>
              <w:t>ABCA3</w:t>
            </w:r>
            <w:r>
              <w:rPr>
                <w:rFonts w:hint="default" w:ascii="Arial Regular" w:hAnsi="Arial Regular" w:eastAsia="宋体" w:cs="Arial Regular"/>
                <w:b/>
                <w:bCs/>
                <w:i/>
                <w:iCs/>
                <w:color w:val="auto"/>
                <w:kern w:val="0"/>
                <w:sz w:val="15"/>
                <w:szCs w:val="15"/>
                <w:lang w:val="en-US" w:eastAsia="zh-CN" w:bidi="ar"/>
              </w:rPr>
              <w:t>,</w:t>
            </w: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5"/>
                <w:szCs w:val="15"/>
                <w:lang w:val="en-US" w:eastAsia="zh-CN" w:bidi="ar"/>
              </w:rPr>
              <w:t xml:space="preserve"> and </w:t>
            </w:r>
            <w:r>
              <w:rPr>
                <w:rFonts w:hint="eastAsia" w:ascii="Arial Regular" w:hAnsi="Arial Regular" w:eastAsia="宋体" w:cs="Arial Regular"/>
                <w:b/>
                <w:bCs/>
                <w:i/>
                <w:iCs/>
                <w:color w:val="auto"/>
                <w:kern w:val="0"/>
                <w:sz w:val="15"/>
                <w:szCs w:val="15"/>
                <w:lang w:val="en-US" w:eastAsia="zh-CN" w:bidi="ar"/>
              </w:rPr>
              <w:t>NKX2-1</w:t>
            </w: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eastAsia" w:ascii="Arial Regular" w:hAnsi="Arial Regular" w:cs="Arial Regular"/>
                <w:b/>
                <w:bCs/>
                <w:color w:val="auto"/>
                <w:kern w:val="0"/>
                <w:sz w:val="15"/>
                <w:szCs w:val="15"/>
                <w:lang w:val="en-US" w:eastAsia="zh-CN" w:bidi="ar"/>
              </w:rPr>
              <w:t>m</w:t>
            </w: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5"/>
                <w:szCs w:val="15"/>
                <w:lang w:val="en-US" w:eastAsia="zh-CN" w:bidi="ar"/>
              </w:rPr>
              <w:t>utations</w:t>
            </w:r>
          </w:p>
        </w:tc>
      </w:tr>
      <w:tr w14:paraId="5FE2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89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Gene type 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91B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i/>
                <w:iCs/>
                <w:color w:val="auto"/>
                <w:kern w:val="0"/>
                <w:sz w:val="11"/>
                <w:szCs w:val="11"/>
                <w:lang w:val="en-US" w:eastAsia="zh-CN" w:bidi="ar"/>
              </w:rPr>
              <w:t>SFTPC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 (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N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=11)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3C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i/>
                <w:iCs/>
                <w:color w:val="auto"/>
                <w:kern w:val="0"/>
                <w:sz w:val="11"/>
                <w:szCs w:val="11"/>
                <w:lang w:val="en-US" w:eastAsia="zh-CN" w:bidi="ar"/>
              </w:rPr>
              <w:t>ABCA3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 (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N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=5)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92D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i/>
                <w:iCs/>
                <w:color w:val="auto"/>
                <w:kern w:val="0"/>
                <w:sz w:val="11"/>
                <w:szCs w:val="11"/>
                <w:lang w:val="en-US" w:eastAsia="zh-CN" w:bidi="ar"/>
              </w:rPr>
              <w:t>NKX2-1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 (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N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=6)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7E8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i/>
                <w:i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i w:val="0"/>
                <w:iCs w:val="0"/>
                <w:color w:val="auto"/>
                <w:kern w:val="0"/>
                <w:sz w:val="11"/>
                <w:szCs w:val="11"/>
                <w:lang w:val="en-US" w:eastAsia="zh-CN" w:bidi="ar"/>
              </w:rPr>
              <w:t>Total (N=22)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50A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i w:val="0"/>
                <w:iCs w:val="0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i w:val="0"/>
                <w:iCs w:val="0"/>
                <w:color w:val="auto"/>
                <w:kern w:val="0"/>
                <w:sz w:val="11"/>
                <w:szCs w:val="11"/>
                <w:lang w:val="en-US" w:eastAsia="zh-CN" w:bidi="ar"/>
              </w:rPr>
              <w:t>P value</w:t>
            </w:r>
          </w:p>
        </w:tc>
      </w:tr>
      <w:tr w14:paraId="3F25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0DD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  <w:t>Autoantibody-positive, n (%)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612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3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 (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27.3%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E4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1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 (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20%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495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2 (33.3%)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42B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6 (27.3%)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CDA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&gt;0.999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08EC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3D66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 -RF-positive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08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3 (27.3%)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1C1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(20%)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AE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(16.7%)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109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5 (22.7%)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DCF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&gt;0.999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highlight w:val="none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32412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1B66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 -Anti-CCP-</w:t>
            </w:r>
            <w:r>
              <w:rPr>
                <w:rFonts w:hint="eastAsia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positive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CA0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2 (18.2%)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237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(20%)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45F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(16.7%)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40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3 (18.2%)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8C0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&gt;0.999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highlight w:val="none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12B19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8BF9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 -ANA (&gt;1:320)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DB6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(9%)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217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(20%)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BC9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(16.7%)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3FE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3 (13.6%)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636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0.786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highlight w:val="none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5090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C5A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110" w:firstLineChars="100"/>
              <w:jc w:val="left"/>
              <w:textAlignment w:val="auto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-ANCA-positive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D25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0 (0%)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D2A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0 (0%)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052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(16.7%)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95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(4.5%)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02D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0.500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highlight w:val="none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2355E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F429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  <w:t>Elevated immunoglobulins, n (%)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4D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4 (36.4%)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931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3 (60%)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B58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5 (83.3%)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FF0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12 (54.5%)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D52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0.181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524BE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8C5F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  <w:t>Abnormal lymphocyte subsets, n (%)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AB7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6 (54.5%)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7927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4 (80%)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DC1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6 (100%)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075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16 (72.7%)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983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0.148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38531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38A5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 -Elevated B cells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A21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3 (27.3%)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B00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2 (40%)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AF3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3 (50%)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21F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8 (36.4%)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FF7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0.737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highlight w:val="none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0AD03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F3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110" w:firstLineChars="100"/>
              <w:jc w:val="left"/>
              <w:textAlignment w:val="auto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-Decreased NK cells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02B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3 (27.3%)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DD1A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2 (40%)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F6E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 (16.7%)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916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6 (27.3%)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944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0.834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highlight w:val="none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651A9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3D9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BALF analysis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54C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N=6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1AF5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N=2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AC0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N=3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55F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N=11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BA0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NA</w:t>
            </w:r>
          </w:p>
        </w:tc>
      </w:tr>
      <w:tr w14:paraId="4B185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7AB394">
            <w:pPr>
              <w:keepNext w:val="0"/>
              <w:keepLines w:val="0"/>
              <w:widowControl/>
              <w:suppressLineNumbers w:val="0"/>
              <w:ind w:firstLine="110" w:firstLineChars="1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-Elevated neutrophils, n (%</w:t>
            </w:r>
            <w:r>
              <w:rPr>
                <w:rFonts w:hint="eastAsia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89A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3 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(50%)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074F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2 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(100%)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BFB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(66.7%)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17B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7 (63.6%)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E83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0.727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highlight w:val="none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3E71D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CC29C">
            <w:pPr>
              <w:keepNext w:val="0"/>
              <w:keepLines w:val="0"/>
              <w:widowControl/>
              <w:suppressLineNumbers w:val="0"/>
              <w:ind w:firstLine="110" w:firstLineChars="1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-Elevated lymphocytes, n (%</w:t>
            </w:r>
            <w:r>
              <w:rPr>
                <w:rFonts w:hint="eastAsia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F1B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/6 (50%)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369B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/2 (50%)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B71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/3 (66.7%)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DE0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6/11 (54.5%)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221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&gt;0.999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highlight w:val="none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0DD78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E48708">
            <w:pPr>
              <w:keepNext w:val="0"/>
              <w:keepLines w:val="0"/>
              <w:widowControl/>
              <w:suppressLineNumbers w:val="0"/>
              <w:ind w:firstLine="110" w:firstLineChars="1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-Elevated eosinophils, n (%</w:t>
            </w:r>
            <w:r>
              <w:rPr>
                <w:rFonts w:hint="eastAsia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92B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/6 (16.7%)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F318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/2 (50%)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81D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/3 (66.7%)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B9E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2/11 (18.2%)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00C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0.288</w:t>
            </w: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highlight w:val="none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2D34F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655247">
            <w:pPr>
              <w:keepNext w:val="0"/>
              <w:keepLines w:val="0"/>
              <w:widowControl/>
              <w:suppressLineNumbers w:val="0"/>
              <w:ind w:firstLine="110" w:firstLineChars="1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-Other abnormalities</w:t>
            </w:r>
            <w:r>
              <w:rPr>
                <w:rFonts w:hint="eastAsia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,</w:t>
            </w: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n (%</w:t>
            </w:r>
            <w:r>
              <w:rPr>
                <w:rFonts w:hint="eastAsia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1CB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HLMs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: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2</w:t>
            </w:r>
            <w:r>
              <w:rPr>
                <w:rFonts w:hint="eastAsia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(33.3%)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5F7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NA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7E1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PAS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(+):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1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 xml:space="preserve"> (33.3%)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E56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NA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659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highlight w:val="none"/>
                <w:lang w:val="en-US" w:eastAsia="zh-CN" w:bidi="ar"/>
              </w:rPr>
              <w:t>NA</w:t>
            </w:r>
          </w:p>
        </w:tc>
      </w:tr>
      <w:tr w14:paraId="4051B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121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2965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  <w:t>lung biopsy findings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  <w:bookmarkStart w:id="0" w:name="_GoBack"/>
            <w:bookmarkEnd w:id="0"/>
          </w:p>
        </w:tc>
        <w:tc>
          <w:tcPr>
            <w:tcW w:w="110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DBE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55" w:leftChars="0" w:hanging="55" w:hangingChars="5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Performed 3/11 cases: 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A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lveolar septa 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thickening 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accompanied by infiltration of lymphocytes (P2, P4, P8); Alveolar epithelial hyperplasia (P8); Focal subepithelial fibroblastic proliferation (P8); Interstitial angiogenesis (P8); A few HLMs found in alveolar space (P2)</w:t>
            </w:r>
          </w:p>
        </w:tc>
        <w:tc>
          <w:tcPr>
            <w:tcW w:w="1199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048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Performed 1/5 cases: 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A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lveolar septa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 thickening 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accompanied by infiltration of lymphocytes and occasional eosinophils, alveolar epithelial hyperplasia, focal fibroblastic proliferation, focal intra-alveolar hemorrhage, focal peribronchiolar lymphocyt</w:t>
            </w: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ic</w:t>
            </w: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 xml:space="preserve"> infiltration (P12)</w:t>
            </w:r>
          </w:p>
        </w:tc>
        <w:tc>
          <w:tcPr>
            <w:tcW w:w="778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55B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NA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3B3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NA</w:t>
            </w:r>
          </w:p>
        </w:tc>
        <w:tc>
          <w:tcPr>
            <w:tcW w:w="2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5C9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color w:val="auto"/>
                <w:kern w:val="0"/>
                <w:sz w:val="11"/>
                <w:szCs w:val="11"/>
                <w:lang w:val="en-US" w:eastAsia="zh-CN" w:bidi="ar"/>
              </w:rPr>
              <w:t>NA</w:t>
            </w:r>
          </w:p>
        </w:tc>
      </w:tr>
      <w:tr w14:paraId="5DAF9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5000" w:type="pct"/>
            <w:gridSpan w:val="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2803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  <w:t>Outcomes</w:t>
            </w:r>
          </w:p>
        </w:tc>
      </w:tr>
      <w:tr w14:paraId="4A7B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DE954A">
            <w:pPr>
              <w:keepNext w:val="0"/>
              <w:keepLines w:val="0"/>
              <w:widowControl/>
              <w:suppressLineNumbers w:val="0"/>
              <w:ind w:firstLine="110" w:firstLineChars="1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Symptom improvement, 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entire cohort, n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(%)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BC7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8/11 (72.7%)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FA0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2/5 (40%)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13B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3/6 (50%)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27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13/22 (59.1%)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3AB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</w:t>
            </w:r>
            <w:r>
              <w:rPr>
                <w:rFonts w:hint="eastAsia" w:ascii="Arial Regular" w:hAnsi="Arial Regular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4</w:t>
            </w:r>
            <w:r>
              <w:rPr>
                <w:rFonts w:hint="default" w:ascii="Arial Regular" w:hAnsi="Arial Regular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66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3A4DE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9C7C9">
            <w:pPr>
              <w:keepNext w:val="0"/>
              <w:keepLines w:val="0"/>
              <w:widowControl/>
              <w:suppressLineNumbers w:val="0"/>
              <w:ind w:firstLine="220" w:firstLineChars="2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- CS+HCQ 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subgroup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, n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(%)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D2B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7/8 (87.5%)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0D3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2/4 (50%)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E44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2/5 (40%)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0FF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11/17 (64.7%)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D8A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</w:t>
            </w:r>
            <w:r>
              <w:rPr>
                <w:rFonts w:hint="default" w:ascii="Arial Regular" w:hAnsi="Arial Regular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197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76FF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2A378E">
            <w:pPr>
              <w:keepNext w:val="0"/>
              <w:keepLines w:val="0"/>
              <w:widowControl/>
              <w:suppressLineNumbers w:val="0"/>
              <w:ind w:firstLine="110" w:firstLineChars="1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Symptom Exacerbation, 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entire cohort, n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(%) 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7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1/1</w:t>
            </w:r>
            <w:r>
              <w:rPr>
                <w:rFonts w:hint="eastAsia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1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 xml:space="preserve"> (9%)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AED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1/5 (20%)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A72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0/6 (0%)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5DC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2/22 (9%)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F4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</w:t>
            </w:r>
            <w:r>
              <w:rPr>
                <w:rFonts w:hint="default" w:ascii="Arial Regular" w:hAnsi="Arial Regular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476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35714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3029D8">
            <w:pPr>
              <w:keepNext w:val="0"/>
              <w:keepLines w:val="0"/>
              <w:widowControl/>
              <w:suppressLineNumbers w:val="0"/>
              <w:ind w:firstLine="220" w:firstLineChars="2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- CS+HCQ 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subgroup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, n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(%)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CE7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1</w:t>
            </w:r>
            <w:r>
              <w:rPr>
                <w:rFonts w:hint="eastAsia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 xml:space="preserve">/8 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(0%)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973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1/4 (25%)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A1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0/5 (0%)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EEF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2/17 (11.8%)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B11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</w:t>
            </w:r>
            <w:r>
              <w:rPr>
                <w:rFonts w:hint="default" w:ascii="Arial Regular" w:hAnsi="Arial Regular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706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1A8BC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90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ABD0E2">
            <w:pPr>
              <w:keepNext w:val="0"/>
              <w:keepLines w:val="0"/>
              <w:widowControl/>
              <w:suppressLineNumbers w:val="0"/>
              <w:ind w:firstLine="110" w:firstLineChars="1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Death, 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all patients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, 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entire cohort, n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(%) 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B23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2/11 (18.2%)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51F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2/5 (40%)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841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3/6 (50%)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321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7/22 (31.8%)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B2B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</w:t>
            </w:r>
            <w:r>
              <w:rPr>
                <w:rFonts w:hint="eastAsia" w:ascii="Arial Regular" w:hAnsi="Arial Regular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4</w:t>
            </w:r>
            <w:r>
              <w:rPr>
                <w:rFonts w:hint="default" w:ascii="Arial Regular" w:hAnsi="Arial Regular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16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659B2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A86AD9">
            <w:pPr>
              <w:keepNext w:val="0"/>
              <w:keepLines w:val="0"/>
              <w:widowControl/>
              <w:suppressLineNumbers w:val="0"/>
              <w:ind w:firstLine="220" w:firstLineChars="2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- CS+HCQ 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subgroup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, n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(%)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262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0/8 (0%)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963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1/4 (25%)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562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3/5 (60%)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E5B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4/17 (23.5%)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B4C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</w:t>
            </w:r>
            <w:r>
              <w:rPr>
                <w:rFonts w:hint="default" w:ascii="Arial Regular" w:hAnsi="Arial Regular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041*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69689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6E93A">
            <w:pPr>
              <w:keepNext w:val="0"/>
              <w:keepLines w:val="0"/>
              <w:widowControl/>
              <w:suppressLineNumbers w:val="0"/>
              <w:ind w:firstLine="110" w:firstLineChars="1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HRCT improvement, 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entire cohort, n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(%)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50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</w:rPr>
              <w:t>8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 xml:space="preserve">/10 (80%) 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D47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2/4 (50%)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7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</w:rPr>
              <w:t>1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/4 (25%)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976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 xml:space="preserve">11/17 (64.7%) 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0ED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0.126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†</w:t>
            </w:r>
          </w:p>
        </w:tc>
      </w:tr>
      <w:tr w14:paraId="39282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47F891">
            <w:pPr>
              <w:keepNext w:val="0"/>
              <w:keepLines w:val="0"/>
              <w:widowControl/>
              <w:suppressLineNumbers w:val="0"/>
              <w:ind w:firstLine="220" w:firstLineChars="2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- CS+HCQ 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subgroup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, n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(%)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3A6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7/8 (87.5%)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2B6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2/3 (66.7%)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3B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</w:rPr>
              <w:t>1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/4 (25%)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BEB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10/15 (66.7%)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4C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0.080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†</w:t>
            </w:r>
          </w:p>
        </w:tc>
      </w:tr>
      <w:tr w14:paraId="1587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C259F3">
            <w:pPr>
              <w:keepNext w:val="0"/>
              <w:keepLines w:val="0"/>
              <w:widowControl/>
              <w:suppressLineNumbers w:val="0"/>
              <w:ind w:firstLine="110" w:firstLineChars="1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KL-6 reduction &gt;20%, 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entire cohort, 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 (%)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729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5/6 (83.3%)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EED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2/3 (66.7%)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63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</w:rPr>
              <w:t>1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/4 (25%)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622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8/13 (61.5%)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68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eastAsia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0.2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87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4B39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275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4D4127">
            <w:pPr>
              <w:keepNext w:val="0"/>
              <w:keepLines w:val="0"/>
              <w:widowControl/>
              <w:suppressLineNumbers w:val="0"/>
              <w:ind w:firstLine="220" w:firstLineChars="200"/>
              <w:jc w:val="left"/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- CS+HCQ 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subgroup</w:t>
            </w:r>
            <w:r>
              <w:rPr>
                <w:rFonts w:hint="default" w:ascii="Arial Regular" w:hAnsi="Arial Regular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, n</w:t>
            </w:r>
            <w:r>
              <w:rPr>
                <w:rFonts w:hint="eastAsia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>/N</w:t>
            </w:r>
            <w:r>
              <w:rPr>
                <w:rFonts w:hint="default" w:ascii="Arial Regular" w:hAnsi="Arial Regular" w:eastAsia="宋体" w:cs="Arial Regular"/>
                <w:b/>
                <w:bCs/>
                <w:kern w:val="0"/>
                <w:sz w:val="11"/>
                <w:szCs w:val="11"/>
                <w:lang w:val="en-US" w:eastAsia="zh-CN" w:bidi="ar"/>
              </w:rPr>
              <w:t xml:space="preserve"> (%)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</w:p>
        </w:tc>
        <w:tc>
          <w:tcPr>
            <w:tcW w:w="250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B26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5/6 (83.3%)</w:t>
            </w:r>
          </w:p>
        </w:tc>
        <w:tc>
          <w:tcPr>
            <w:tcW w:w="27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8BF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2/3 (66.7%)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D6F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</w:rPr>
              <w:t>1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/>
              </w:rPr>
              <w:t>/4 (25%)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349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8/13 (61.5%)</w:t>
            </w:r>
          </w:p>
        </w:tc>
        <w:tc>
          <w:tcPr>
            <w:tcW w:w="55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ECD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left"/>
              <w:textAlignment w:val="auto"/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lang w:val="en-US" w:eastAsia="zh-CN" w:bidi="ar-SA"/>
              </w:rPr>
            </w:pPr>
            <w:r>
              <w:rPr>
                <w:rFonts w:hint="eastAsia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0.2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404040"/>
                <w:spacing w:val="0"/>
                <w:sz w:val="11"/>
                <w:szCs w:val="11"/>
                <w:shd w:val="clear" w:fill="FFFFFF"/>
                <w:lang w:val="en-US" w:eastAsia="zh-CN"/>
              </w:rPr>
              <w:t>87</w:t>
            </w:r>
            <w:r>
              <w:rPr>
                <w:rFonts w:hint="eastAsia" w:ascii="Arial Regular" w:hAnsi="Arial Regular" w:eastAsia="宋体" w:cs="Arial Regular"/>
                <w:i w:val="0"/>
                <w:iCs w:val="0"/>
                <w:caps w:val="0"/>
                <w:spacing w:val="0"/>
                <w:kern w:val="0"/>
                <w:sz w:val="11"/>
                <w:szCs w:val="11"/>
                <w:shd w:val="clear"/>
                <w:vertAlign w:val="superscript"/>
                <w:lang w:val="en-US" w:eastAsia="zh-CN" w:bidi="ar"/>
              </w:rPr>
              <w:t>†</w:t>
            </w:r>
          </w:p>
        </w:tc>
      </w:tr>
      <w:tr w14:paraId="7FECA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E3E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</w:pP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  <w:t>n: number of cases; N: total number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NA: Not available/applicable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RF: Rheumatoid factor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CCP: Anti-cyclic citrullinated peptide antibody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ANA: Antinuclear antibody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ANCA: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anti-neutrophil cytoplasmic antibod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y;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NK cells: Natural killer cells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BALF: Bronchoalveolar lavage fluid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HLMs: Hemosiderin-laden macrophages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PAS: Periodic acid-Schiff stain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1"/>
                <w:szCs w:val="11"/>
                <w:shd w:val="clear" w:fill="FFFFFF"/>
                <w:vertAlign w:val="baseline"/>
                <w:lang w:val="en-US" w:eastAsia="zh-CN" w:bidi="ar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>CS: C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orticosteroids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HCQ: Hydroxychloroquine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KL-6: Krebs von den Lungen-6 glycoprotein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  <w:t xml:space="preserve">; </w:t>
            </w:r>
          </w:p>
          <w:p w14:paraId="00AF46E4">
            <w:pP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</w:pP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Symbols: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 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*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: 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P&lt;0.05, **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: 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 xml:space="preserve">P&lt;0.01; 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</w:rPr>
              <w:t>†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baseline"/>
                <w:lang w:val="en-US"/>
              </w:rPr>
              <w:t xml:space="preserve">: 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 xml:space="preserve">Fisher's exact test; 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</w:rPr>
              <w:t>‡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baseline"/>
                <w:lang w:val="en-US"/>
              </w:rPr>
              <w:t xml:space="preserve">: 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</w:rPr>
              <w:t>Kruskal-Wallis test</w:t>
            </w:r>
            <w:r>
              <w:rPr>
                <w:rFonts w:hint="default" w:ascii="Arial Regular" w:hAnsi="Arial Regular" w:eastAsia="Helvetica Neue" w:cs="Arial Regular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/>
              </w:rPr>
              <w:t xml:space="preserve">; </w:t>
            </w:r>
            <w:r>
              <w:rPr>
                <w:rFonts w:hint="default" w:ascii="Arial Bold" w:hAnsi="Arial Bold" w:eastAsia="宋体" w:cs="Arial Bold"/>
                <w:b/>
                <w:bCs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vertAlign w:val="superscript"/>
                <w:lang w:val="en-US" w:eastAsia="zh-CN"/>
              </w:rPr>
              <w:t>§</w:t>
            </w:r>
            <w:r>
              <w:rPr>
                <w:rFonts w:hint="default" w:ascii="Arial Regular" w:hAnsi="Arial Regular" w:eastAsia="宋体" w:cs="Arial Regular"/>
                <w:b/>
                <w:bCs/>
                <w:color w:val="auto"/>
                <w:kern w:val="0"/>
                <w:sz w:val="11"/>
                <w:szCs w:val="11"/>
                <w:vertAlign w:val="baseline"/>
                <w:lang w:val="en-US" w:eastAsia="zh-CN" w:bidi="ar"/>
              </w:rPr>
              <w:t xml:space="preserve">: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  <w:t>the total number of patients varies across analyses;</w:t>
            </w:r>
            <w:r>
              <w:rPr>
                <w:rFonts w:hint="eastAsia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Arial Regular" w:hAnsi="Arial Regular" w:eastAsia="Helvetica Neue" w:cs="Arial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1"/>
                <w:szCs w:val="11"/>
                <w:shd w:val="clear" w:fill="FFFFFF"/>
                <w:lang w:val="en-US" w:eastAsia="zh-CN"/>
              </w:rPr>
              <w:t>the exact case numbers are listed in the table.</w:t>
            </w:r>
          </w:p>
        </w:tc>
      </w:tr>
    </w:tbl>
    <w:p w14:paraId="191A62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verdana">
    <w:panose1 w:val="020B0804030504040204"/>
    <w:charset w:val="00"/>
    <w:family w:val="auto"/>
    <w:pitch w:val="default"/>
    <w:sig w:usb0="A10006FF" w:usb1="4000205B" w:usb2="00000010" w:usb3="00000000" w:csb0="2000019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BBE2C7"/>
    <w:rsid w:val="7FB85883"/>
    <w:rsid w:val="A3F66463"/>
    <w:rsid w:val="B4D97EA9"/>
    <w:rsid w:val="BA863473"/>
    <w:rsid w:val="BEBC239F"/>
    <w:rsid w:val="EEFFC746"/>
    <w:rsid w:val="F3BBE2C7"/>
    <w:rsid w:val="FB7B46F5"/>
    <w:rsid w:val="FF67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2025-06-23T17:17:00Z</dcterms:created>
  <dc:creator>Tang Xiaolei</dc:creator>
  <cp:lastModifiedBy>Tang Xiaolei</cp:lastModifiedBy>
  <dcterms:modified xsi:type="dcterms:W3CDTF">2025-08-07T22:20:54Z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424E06415445D33B98AF9468EDB610A0_43</vt:lpwstr>
  </property>
</Properties>
</file>