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90"/>
        <w:gridCol w:w="3135"/>
        <w:gridCol w:w="1530"/>
        <w:gridCol w:w="2163"/>
      </w:tblGrid>
      <w:tr w:rsidR="00D038C3" w14:paraId="789460A3" w14:textId="77777777" w:rsidTr="00D038C3">
        <w:trPr>
          <w:tblHeader/>
        </w:trPr>
        <w:tc>
          <w:tcPr>
            <w:tcW w:w="3090" w:type="dxa"/>
            <w:shd w:val="clear" w:color="auto" w:fill="FFFFFF"/>
            <w:vAlign w:val="center"/>
          </w:tcPr>
          <w:p w14:paraId="1A45C0FF" w14:textId="77777777" w:rsidR="00D038C3" w:rsidRDefault="00D038C3" w:rsidP="00DF24A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Clinical Question</w:t>
            </w:r>
          </w:p>
        </w:tc>
        <w:tc>
          <w:tcPr>
            <w:tcW w:w="3135" w:type="dxa"/>
            <w:shd w:val="clear" w:color="auto" w:fill="FFFFFF"/>
            <w:vAlign w:val="center"/>
          </w:tcPr>
          <w:p w14:paraId="0109C158" w14:textId="77777777" w:rsidR="00D038C3" w:rsidRDefault="00D038C3" w:rsidP="00DF24A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Evidence Summary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6E4B041D" w14:textId="77777777" w:rsidR="00D038C3" w:rsidRDefault="00D038C3" w:rsidP="00DF24A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Quality of evidence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4EE9C0C0" w14:textId="77777777" w:rsidR="00D038C3" w:rsidRDefault="00D038C3" w:rsidP="00DF24A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Recommendation</w:t>
            </w:r>
          </w:p>
        </w:tc>
      </w:tr>
      <w:tr w:rsidR="00D038C3" w14:paraId="286B6A61" w14:textId="77777777" w:rsidTr="00D038C3">
        <w:tc>
          <w:tcPr>
            <w:tcW w:w="3090" w:type="dxa"/>
            <w:shd w:val="clear" w:color="auto" w:fill="FFFFFF"/>
            <w:vAlign w:val="center"/>
          </w:tcPr>
          <w:p w14:paraId="6F4C33B7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Should OCS be used in preschool wheezing?</w:t>
            </w:r>
          </w:p>
        </w:tc>
        <w:tc>
          <w:tcPr>
            <w:tcW w:w="3135" w:type="dxa"/>
            <w:shd w:val="clear" w:color="auto" w:fill="FFFFFF"/>
            <w:vAlign w:val="center"/>
          </w:tcPr>
          <w:p w14:paraId="5968DFE7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 consistent benefit; helpful only in severe ED/hospital presentations or rhinovirus/enterovirus-positive wheezing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27627477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RCTs and meta-analyses with conflicting results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071AC104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Conditional (against routine use; for selected subgroups)</w:t>
            </w:r>
          </w:p>
        </w:tc>
      </w:tr>
      <w:tr w:rsidR="00D038C3" w14:paraId="4AC15FC7" w14:textId="77777777" w:rsidTr="00D038C3">
        <w:tc>
          <w:tcPr>
            <w:tcW w:w="3090" w:type="dxa"/>
            <w:shd w:val="clear" w:color="auto" w:fill="FFFFFF"/>
            <w:vAlign w:val="center"/>
          </w:tcPr>
          <w:p w14:paraId="3BDCE05B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Should OCS be used in school-age asthma exacerbations?</w:t>
            </w:r>
          </w:p>
        </w:tc>
        <w:tc>
          <w:tcPr>
            <w:tcW w:w="3135" w:type="dxa"/>
            <w:shd w:val="clear" w:color="auto" w:fill="FFFFFF"/>
            <w:vAlign w:val="center"/>
          </w:tcPr>
          <w:p w14:paraId="2397EA16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Clear benefit in moderate–severe exacerbations; reduces hospitalization and relapse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15FC1E78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RCTs, meta-analyses, systematic review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04299838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Strong (use OCS)</w:t>
            </w:r>
          </w:p>
        </w:tc>
      </w:tr>
      <w:tr w:rsidR="00D038C3" w14:paraId="354F9146" w14:textId="77777777" w:rsidTr="00D038C3">
        <w:tc>
          <w:tcPr>
            <w:tcW w:w="3090" w:type="dxa"/>
            <w:shd w:val="clear" w:color="auto" w:fill="FFFFFF"/>
            <w:vAlign w:val="center"/>
          </w:tcPr>
          <w:p w14:paraId="77844169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Short vs long OCS course (3 vs 5 days) in acute asthma</w:t>
            </w:r>
          </w:p>
        </w:tc>
        <w:tc>
          <w:tcPr>
            <w:tcW w:w="3135" w:type="dxa"/>
            <w:shd w:val="clear" w:color="auto" w:fill="FFFFFF"/>
            <w:vAlign w:val="center"/>
          </w:tcPr>
          <w:p w14:paraId="27CE5D78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Equivalent efficacy; shorter course better tolerated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32E4960B" w14:textId="77777777" w:rsidR="00D038C3" w:rsidRDefault="00D038C3" w:rsidP="00DF24A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RCTs, meta-analysis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065CE87C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Strong (prefer 3-day course)</w:t>
            </w:r>
          </w:p>
        </w:tc>
      </w:tr>
      <w:tr w:rsidR="00D038C3" w14:paraId="327286E1" w14:textId="77777777" w:rsidTr="00D038C3">
        <w:tc>
          <w:tcPr>
            <w:tcW w:w="3090" w:type="dxa"/>
            <w:shd w:val="clear" w:color="auto" w:fill="FFFFFF"/>
            <w:vAlign w:val="center"/>
          </w:tcPr>
          <w:p w14:paraId="4884F50F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Prednisone/prednisolone vs dexamethasone</w:t>
            </w:r>
          </w:p>
        </w:tc>
        <w:tc>
          <w:tcPr>
            <w:tcW w:w="3135" w:type="dxa"/>
            <w:shd w:val="clear" w:color="auto" w:fill="FFFFFF"/>
            <w:vAlign w:val="center"/>
          </w:tcPr>
          <w:p w14:paraId="2FBA16FE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Similar efficacy; dexamethasone better palatability and adherence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1110E040" w14:textId="7F575AF1" w:rsidR="00D038C3" w:rsidRDefault="00713567" w:rsidP="00DF24A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Guidelines, systematic</w:t>
            </w:r>
            <w:r w:rsidR="00D038C3">
              <w:rPr>
                <w:rFonts w:ascii="Arial" w:eastAsia="Arial" w:hAnsi="Arial" w:cs="Arial"/>
                <w:b/>
                <w:bCs/>
              </w:rPr>
              <w:t xml:space="preserve"> review, RCTs, meta-analysis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4F779FC9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Strong </w:t>
            </w:r>
          </w:p>
          <w:p w14:paraId="3B39C620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(dexamethasone is acceptable alternative)</w:t>
            </w:r>
          </w:p>
        </w:tc>
      </w:tr>
      <w:tr w:rsidR="00D038C3" w14:paraId="12C676CA" w14:textId="77777777" w:rsidTr="00D038C3">
        <w:tc>
          <w:tcPr>
            <w:tcW w:w="3090" w:type="dxa"/>
            <w:shd w:val="clear" w:color="auto" w:fill="FFFFFF"/>
            <w:vAlign w:val="center"/>
          </w:tcPr>
          <w:p w14:paraId="6EAD23A0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Deflazacort vs prednisolone</w:t>
            </w:r>
          </w:p>
        </w:tc>
        <w:tc>
          <w:tcPr>
            <w:tcW w:w="3135" w:type="dxa"/>
            <w:shd w:val="clear" w:color="auto" w:fill="FFFFFF"/>
            <w:vAlign w:val="center"/>
          </w:tcPr>
          <w:p w14:paraId="033CB2AE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Similar efficacy</w:t>
            </w:r>
          </w:p>
        </w:tc>
        <w:tc>
          <w:tcPr>
            <w:tcW w:w="1530" w:type="dxa"/>
            <w:shd w:val="clear" w:color="auto" w:fill="FFFFFF"/>
            <w:vAlign w:val="center"/>
          </w:tcPr>
          <w:p w14:paraId="4A9F72EF" w14:textId="77777777" w:rsidR="00D038C3" w:rsidRDefault="00D038C3" w:rsidP="00DF24AE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 RCTs with heterogenous dosing and days of treatment</w:t>
            </w:r>
          </w:p>
        </w:tc>
        <w:tc>
          <w:tcPr>
            <w:tcW w:w="2163" w:type="dxa"/>
            <w:shd w:val="clear" w:color="auto" w:fill="FFFFFF"/>
            <w:vAlign w:val="center"/>
          </w:tcPr>
          <w:p w14:paraId="62091DBB" w14:textId="77777777" w:rsidR="00D038C3" w:rsidRDefault="00D038C3" w:rsidP="00DF24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Weak (may consider alternative)</w:t>
            </w:r>
          </w:p>
        </w:tc>
      </w:tr>
    </w:tbl>
    <w:p w14:paraId="3CFC0E22" w14:textId="77777777" w:rsidR="00D63A8A" w:rsidRDefault="00D63A8A"/>
    <w:sectPr w:rsidR="00D63A8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5E11B" w14:textId="77777777" w:rsidR="0020777A" w:rsidRDefault="0020777A" w:rsidP="00D038C3">
      <w:pPr>
        <w:spacing w:after="0" w:line="240" w:lineRule="auto"/>
      </w:pPr>
      <w:r>
        <w:separator/>
      </w:r>
    </w:p>
  </w:endnote>
  <w:endnote w:type="continuationSeparator" w:id="0">
    <w:p w14:paraId="492ACD0F" w14:textId="77777777" w:rsidR="0020777A" w:rsidRDefault="0020777A" w:rsidP="00D0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1694" w14:textId="77777777" w:rsidR="0020777A" w:rsidRDefault="0020777A" w:rsidP="00D038C3">
      <w:pPr>
        <w:spacing w:after="0" w:line="240" w:lineRule="auto"/>
      </w:pPr>
      <w:r>
        <w:separator/>
      </w:r>
    </w:p>
  </w:footnote>
  <w:footnote w:type="continuationSeparator" w:id="0">
    <w:p w14:paraId="0D5B3D6E" w14:textId="77777777" w:rsidR="0020777A" w:rsidRDefault="0020777A" w:rsidP="00D03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8741" w14:textId="77777777" w:rsidR="00D038C3" w:rsidRDefault="00D038C3">
    <w:pPr>
      <w:pStyle w:val="Intestazione"/>
    </w:pPr>
  </w:p>
  <w:p w14:paraId="296EF3A6" w14:textId="53A74AAE" w:rsidR="00D038C3" w:rsidRDefault="00D038C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8C3"/>
    <w:rsid w:val="0020777A"/>
    <w:rsid w:val="006F6B11"/>
    <w:rsid w:val="00713567"/>
    <w:rsid w:val="00BA7646"/>
    <w:rsid w:val="00D038C3"/>
    <w:rsid w:val="00D6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591D"/>
  <w15:chartTrackingRefBased/>
  <w15:docId w15:val="{1081A443-01DB-44A6-89A2-88DA34DCB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38C3"/>
    <w:rPr>
      <w:rFonts w:ascii="Aptos" w:eastAsia="Aptos" w:hAnsi="Aptos" w:cs="Aptos"/>
      <w:lang w:val="en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03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03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38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it-IT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38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it-IT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38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it-IT"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38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t-IT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38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it-IT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38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t-IT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38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03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3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3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38C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38C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38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38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38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38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3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D03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38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t-IT"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3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038C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t-IT"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38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038C3"/>
    <w:pPr>
      <w:ind w:left="720"/>
      <w:contextualSpacing/>
    </w:pPr>
    <w:rPr>
      <w:rFonts w:asciiTheme="minorHAnsi" w:eastAsiaTheme="minorHAnsi" w:hAnsiTheme="minorHAnsi" w:cstheme="minorBidi"/>
      <w:lang w:val="it-IT" w:eastAsia="en-US"/>
    </w:rPr>
  </w:style>
  <w:style w:type="character" w:styleId="Enfasiintensa">
    <w:name w:val="Intense Emphasis"/>
    <w:basedOn w:val="Carpredefinitoparagrafo"/>
    <w:uiPriority w:val="21"/>
    <w:qFormat/>
    <w:rsid w:val="00D038C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3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it-IT"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38C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038C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038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38C3"/>
    <w:rPr>
      <w:rFonts w:ascii="Aptos" w:eastAsia="Aptos" w:hAnsi="Aptos" w:cs="Aptos"/>
      <w:lang w:val="en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38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38C3"/>
    <w:rPr>
      <w:rFonts w:ascii="Aptos" w:eastAsia="Aptos" w:hAnsi="Aptos" w:cs="Aptos"/>
      <w:lang w:val="en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ficari</dc:creator>
  <cp:keywords/>
  <dc:description/>
  <cp:lastModifiedBy>andrea ficari</cp:lastModifiedBy>
  <cp:revision>2</cp:revision>
  <dcterms:created xsi:type="dcterms:W3CDTF">2025-12-29T16:11:00Z</dcterms:created>
  <dcterms:modified xsi:type="dcterms:W3CDTF">2025-12-29T16:15:00Z</dcterms:modified>
</cp:coreProperties>
</file>