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7C6A" w:rsidRPr="004A7C6A" w:rsidRDefault="00A41FE7" w:rsidP="005F2D72">
      <w:pPr>
        <w:spacing w:before="240" w:after="240" w:line="480" w:lineRule="auto"/>
        <w:ind w:firstLine="270"/>
        <w:contextualSpacing/>
        <w:jc w:val="both"/>
        <w:rPr>
          <w:rFonts w:ascii="Times New Roman" w:hAnsi="Times New Roman" w:cs="Times New Roman"/>
          <w:b/>
          <w:color w:val="0070C0"/>
          <w:sz w:val="28"/>
          <w:szCs w:val="24"/>
        </w:rPr>
      </w:pPr>
      <w:r>
        <w:rPr>
          <w:rFonts w:ascii="Times New Roman" w:hAnsi="Times New Roman" w:cs="Times New Roman"/>
          <w:b/>
          <w:color w:val="0070C0"/>
          <w:sz w:val="28"/>
          <w:szCs w:val="24"/>
        </w:rPr>
        <w:t xml:space="preserve">Supplementary </w:t>
      </w:r>
      <w:r w:rsidR="004A7C6A" w:rsidRPr="004A7C6A">
        <w:rPr>
          <w:rFonts w:ascii="Times New Roman" w:hAnsi="Times New Roman" w:cs="Times New Roman"/>
          <w:b/>
          <w:color w:val="0070C0"/>
          <w:sz w:val="28"/>
          <w:szCs w:val="24"/>
        </w:rPr>
        <w:t>Material and methods</w:t>
      </w:r>
    </w:p>
    <w:p w:rsidR="00A41FE7" w:rsidRPr="00A620C3" w:rsidRDefault="00A41FE7" w:rsidP="00A863CC">
      <w:pPr>
        <w:pStyle w:val="ListParagraph"/>
        <w:spacing w:line="480" w:lineRule="auto"/>
        <w:ind w:left="270"/>
        <w:jc w:val="both"/>
        <w:rPr>
          <w:rFonts w:ascii="Times New Roman" w:hAnsi="Times New Roman" w:cs="Times New Roman"/>
          <w:b/>
          <w:sz w:val="24"/>
          <w:szCs w:val="24"/>
        </w:rPr>
      </w:pPr>
      <w:r w:rsidRPr="00A620C3">
        <w:rPr>
          <w:rFonts w:ascii="Times New Roman" w:hAnsi="Times New Roman" w:cs="Times New Roman"/>
          <w:b/>
          <w:caps/>
          <w:sz w:val="24"/>
          <w:szCs w:val="24"/>
        </w:rPr>
        <w:t>m</w:t>
      </w:r>
      <w:r w:rsidRPr="00A620C3">
        <w:rPr>
          <w:rFonts w:ascii="Times New Roman" w:hAnsi="Times New Roman" w:cs="Times New Roman"/>
          <w:b/>
          <w:sz w:val="24"/>
          <w:szCs w:val="24"/>
        </w:rPr>
        <w:t xml:space="preserve">olecular </w:t>
      </w:r>
      <w:r w:rsidRPr="00A620C3">
        <w:rPr>
          <w:rFonts w:ascii="Times New Roman" w:hAnsi="Times New Roman" w:cs="Times New Roman"/>
          <w:b/>
          <w:caps/>
          <w:sz w:val="24"/>
          <w:szCs w:val="24"/>
        </w:rPr>
        <w:t>d</w:t>
      </w:r>
      <w:r w:rsidRPr="00A620C3">
        <w:rPr>
          <w:rFonts w:ascii="Times New Roman" w:hAnsi="Times New Roman" w:cs="Times New Roman"/>
          <w:b/>
          <w:sz w:val="24"/>
          <w:szCs w:val="24"/>
        </w:rPr>
        <w:t>ynamic (MD) simulation Study</w:t>
      </w:r>
    </w:p>
    <w:p w:rsidR="004A7C6A" w:rsidRPr="004A7C6A" w:rsidRDefault="004A7C6A" w:rsidP="00A41FE7">
      <w:pPr>
        <w:spacing w:before="240" w:after="240" w:line="480" w:lineRule="auto"/>
        <w:ind w:left="270"/>
        <w:contextualSpacing/>
        <w:jc w:val="both"/>
        <w:rPr>
          <w:rFonts w:ascii="Times New Roman" w:hAnsi="Times New Roman" w:cs="Times New Roman"/>
          <w:sz w:val="24"/>
          <w:szCs w:val="24"/>
        </w:rPr>
      </w:pPr>
      <w:r w:rsidRPr="004A7C6A">
        <w:rPr>
          <w:rFonts w:ascii="Times New Roman" w:hAnsi="Times New Roman" w:cs="Times New Roman"/>
          <w:sz w:val="24"/>
          <w:szCs w:val="24"/>
        </w:rPr>
        <w:t>MD Simulation was performed in wild type and mutant proteins using GROMACS 2023.2</w:t>
      </w:r>
      <w:r w:rsidRPr="004A7C6A">
        <w:rPr>
          <w:rFonts w:ascii="Times New Roman" w:hAnsi="Times New Roman" w:cs="Times New Roman"/>
          <w:sz w:val="24"/>
          <w:szCs w:val="24"/>
        </w:rPr>
        <w:fldChar w:fldCharType="begin" w:fldLock="1"/>
      </w:r>
      <w:r w:rsidR="00F33ACB">
        <w:rPr>
          <w:rFonts w:ascii="Times New Roman" w:hAnsi="Times New Roman" w:cs="Times New Roman"/>
          <w:sz w:val="24"/>
          <w:szCs w:val="24"/>
        </w:rPr>
        <w:instrText>ADDIN CSL_CITATION {"citationItems":[{"id":"ITEM-1","itemData":{"DOI":"10.1002/jcc.20291","ISSN":"01928651","PMID":"16211538","abstract":"This article describes the software suite GROMACS (Groningen MAchine for Chemical Simulation) that was developed at the University of Groningen, The Netherlands, in the early 1990s. The software, written in ANSI C, originates from a parallel hardware project, and is well suited for parallelization on processor clusters. By careful optimization of neighbor searching and of inner loop performance, GROMACS is a very fast program for molecular dynamics simulation. It does not have a force field of its own, but is compatible with GROMOS, OPLS, AMBER, and ENCAD force fields. In addition, it can handle polarizable shell models and flexible constraints. The program is versatile, as force routines can be added by the user, tabulated functions can be specified, and analyses can be easily customized. Nonequilibrium dynamics and free energy determinations are incorporated. Interfaces with popular quantum-chemical packages (MOPAC, GAMES-UK, GAUSSIAN) are provided to perform mixed MM/QM simulations. The package includes about 100 utility and analysis programs. GROMACS is in the public domain and distributed (with source code and documentation) under the GNU General Public License. It is maintained by a group of developers from the Universities of Groningen, Uppsala, and Stockholm, and the Max Planck Institute for Polymer Research in Mainz. Its Web site is http://www.gromacs.org. © 2005 Wiley Periodicals, Inc.","author":[{"dropping-particle":"","family":"Spoel","given":"David","non-dropping-particle":"Van Der","parse-names":false,"suffix":""},{"dropping-particle":"","family":"Lindahl","given":"Erik","non-dropping-particle":"","parse-names":false,"suffix":""},{"dropping-particle":"","family":"Hess","given":"Berk","non-dropping-particle":"","parse-names":false,"suffix":""},{"dropping-particle":"","family":"Groenhof","given":"Gerrit","non-dropping-particle":"","parse-names":false,"suffix":""},{"dropping-particle":"","family":"Mark","given":"Alan E.","non-dropping-particle":"","parse-names":false,"suffix":""},{"dropping-particle":"","family":"Berendsen","given":"Herman J.C.","non-dropping-particle":"","parse-names":false,"suffix":""}],"container-title":"Journal of Computational Chemistry","id":"ITEM-1","issue":"16","issued":{"date-parts":[["2005"]]},"page":"1701-1718","title":"GROMACS: Fast, flexible, and free","type":"article-journal","volume":"26"},"uris":["http://www.mendeley.com/documents/?uuid=b7e86015-193a-4144-858d-a8f0161f5d33"]}],"mendeley":{"formattedCitation":"(1)","plainTextFormattedCitation":"(1)","previouslyFormattedCitation":"(1)"},"properties":{"noteIndex":0},"schema":"https://github.com/citation-style-language/schema/raw/master/csl-citation.json"}</w:instrText>
      </w:r>
      <w:r w:rsidRPr="004A7C6A">
        <w:rPr>
          <w:rFonts w:ascii="Times New Roman" w:hAnsi="Times New Roman" w:cs="Times New Roman"/>
          <w:sz w:val="24"/>
          <w:szCs w:val="24"/>
        </w:rPr>
        <w:fldChar w:fldCharType="separate"/>
      </w:r>
      <w:r w:rsidR="00F33ACB" w:rsidRPr="00F33ACB">
        <w:rPr>
          <w:rFonts w:ascii="Times New Roman" w:hAnsi="Times New Roman" w:cs="Times New Roman"/>
          <w:noProof/>
          <w:sz w:val="24"/>
          <w:szCs w:val="24"/>
        </w:rPr>
        <w:t>(1)</w:t>
      </w:r>
      <w:r w:rsidRPr="004A7C6A">
        <w:rPr>
          <w:rFonts w:ascii="Times New Roman" w:hAnsi="Times New Roman" w:cs="Times New Roman"/>
          <w:sz w:val="24"/>
          <w:szCs w:val="24"/>
        </w:rPr>
        <w:fldChar w:fldCharType="end"/>
      </w:r>
      <w:r w:rsidRPr="004A7C6A">
        <w:rPr>
          <w:rFonts w:ascii="Times New Roman" w:hAnsi="Times New Roman" w:cs="Times New Roman"/>
          <w:sz w:val="24"/>
          <w:szCs w:val="24"/>
        </w:rPr>
        <w:t xml:space="preserve">. After applying force field (AMBER ff99SB) wild-type and mutant protein was solvated using TIP3P water model in a triclinic boundary box and neutralized by adding appropriate number of counter ions using </w:t>
      </w:r>
      <w:proofErr w:type="spellStart"/>
      <w:r w:rsidRPr="004A7C6A">
        <w:rPr>
          <w:rFonts w:ascii="Times New Roman" w:hAnsi="Times New Roman" w:cs="Times New Roman"/>
          <w:sz w:val="24"/>
          <w:szCs w:val="24"/>
        </w:rPr>
        <w:t>tleap</w:t>
      </w:r>
      <w:proofErr w:type="spellEnd"/>
      <w:r w:rsidRPr="004A7C6A">
        <w:rPr>
          <w:rFonts w:ascii="Times New Roman" w:hAnsi="Times New Roman" w:cs="Times New Roman"/>
          <w:sz w:val="24"/>
          <w:szCs w:val="24"/>
        </w:rPr>
        <w:t xml:space="preserve"> of Amber 24 (D.A. Case, 2024). Thereafter the amber generated topology (</w:t>
      </w:r>
      <w:proofErr w:type="spellStart"/>
      <w:r w:rsidRPr="004A7C6A">
        <w:rPr>
          <w:rFonts w:ascii="Times New Roman" w:hAnsi="Times New Roman" w:cs="Times New Roman"/>
          <w:sz w:val="24"/>
          <w:szCs w:val="24"/>
        </w:rPr>
        <w:t>prmtop</w:t>
      </w:r>
      <w:proofErr w:type="spellEnd"/>
      <w:r w:rsidRPr="004A7C6A">
        <w:rPr>
          <w:rFonts w:ascii="Times New Roman" w:hAnsi="Times New Roman" w:cs="Times New Roman"/>
          <w:sz w:val="24"/>
          <w:szCs w:val="24"/>
        </w:rPr>
        <w:t xml:space="preserve"> and </w:t>
      </w:r>
      <w:proofErr w:type="spellStart"/>
      <w:r w:rsidRPr="004A7C6A">
        <w:rPr>
          <w:rFonts w:ascii="Times New Roman" w:hAnsi="Times New Roman" w:cs="Times New Roman"/>
          <w:sz w:val="24"/>
          <w:szCs w:val="24"/>
        </w:rPr>
        <w:t>inpcrd</w:t>
      </w:r>
      <w:proofErr w:type="spellEnd"/>
      <w:r w:rsidRPr="004A7C6A">
        <w:rPr>
          <w:rFonts w:ascii="Times New Roman" w:hAnsi="Times New Roman" w:cs="Times New Roman"/>
          <w:sz w:val="24"/>
          <w:szCs w:val="24"/>
        </w:rPr>
        <w:t xml:space="preserve">) was converted into </w:t>
      </w:r>
      <w:proofErr w:type="spellStart"/>
      <w:r w:rsidRPr="004A7C6A">
        <w:rPr>
          <w:rFonts w:ascii="Times New Roman" w:hAnsi="Times New Roman" w:cs="Times New Roman"/>
          <w:sz w:val="24"/>
          <w:szCs w:val="24"/>
        </w:rPr>
        <w:t>Gromacs</w:t>
      </w:r>
      <w:proofErr w:type="spellEnd"/>
      <w:r w:rsidRPr="004A7C6A">
        <w:rPr>
          <w:rFonts w:ascii="Times New Roman" w:hAnsi="Times New Roman" w:cs="Times New Roman"/>
          <w:sz w:val="24"/>
          <w:szCs w:val="24"/>
        </w:rPr>
        <w:t xml:space="preserve"> compatible topology file (top and </w:t>
      </w:r>
      <w:proofErr w:type="spellStart"/>
      <w:r w:rsidRPr="004A7C6A">
        <w:rPr>
          <w:rFonts w:ascii="Times New Roman" w:hAnsi="Times New Roman" w:cs="Times New Roman"/>
          <w:sz w:val="24"/>
          <w:szCs w:val="24"/>
        </w:rPr>
        <w:t>gro</w:t>
      </w:r>
      <w:proofErr w:type="spellEnd"/>
      <w:r w:rsidRPr="004A7C6A">
        <w:rPr>
          <w:rFonts w:ascii="Times New Roman" w:hAnsi="Times New Roman" w:cs="Times New Roman"/>
          <w:sz w:val="24"/>
          <w:szCs w:val="24"/>
        </w:rPr>
        <w:t>) using ‘</w:t>
      </w:r>
      <w:proofErr w:type="spellStart"/>
      <w:r w:rsidRPr="004A7C6A">
        <w:rPr>
          <w:rFonts w:ascii="Times New Roman" w:hAnsi="Times New Roman" w:cs="Times New Roman"/>
          <w:sz w:val="24"/>
          <w:szCs w:val="24"/>
        </w:rPr>
        <w:t>Parmed</w:t>
      </w:r>
      <w:proofErr w:type="spellEnd"/>
      <w:r w:rsidRPr="004A7C6A">
        <w:rPr>
          <w:rFonts w:ascii="Times New Roman" w:hAnsi="Times New Roman" w:cs="Times New Roman"/>
          <w:sz w:val="24"/>
          <w:szCs w:val="24"/>
        </w:rPr>
        <w:t>’ tool</w:t>
      </w:r>
      <w:r w:rsidRPr="004A7C6A">
        <w:rPr>
          <w:rFonts w:ascii="Times New Roman" w:hAnsi="Times New Roman" w:cs="Times New Roman"/>
          <w:sz w:val="24"/>
          <w:szCs w:val="24"/>
        </w:rPr>
        <w:fldChar w:fldCharType="begin" w:fldLock="1"/>
      </w:r>
      <w:r w:rsidR="00F33ACB">
        <w:rPr>
          <w:rFonts w:ascii="Times New Roman" w:hAnsi="Times New Roman" w:cs="Times New Roman"/>
          <w:sz w:val="24"/>
          <w:szCs w:val="24"/>
        </w:rPr>
        <w:instrText>ADDIN CSL_CITATION {"citationItems":[{"id":"ITEM-1","itemData":{"DOI":"10.1007/s10822-016-9977-1","ISSN":"15734951","PMID":"27787702","abstract":"We describe our efforts to prepare common starting structures and models for the SAMPL5 blind prediction challenge. We generated the starting input files and single configuration potential energies for the host-guest in the SAMPL5 blind prediction challenge for the GROMACS, AMBER, LAMMPS, DESMOND and CHARMM molecular simulation programs. All conversions were fully automated from the originally prepared AMBER input files using a combination of the ParmEd and InterMol conversion programs. We find that the energy calculations for all molecular dynamics engines for this molecular set agree to better than 0.1 % relative absolute energy for all energy components, and in most cases an order of magnitude better, when reasonable choices are made for different cutoff parameters. However, there are some surprising sources of statistically significant differences. Most importantly, different choices of Coulomb’s constant between programs are one of the largest sources of discrepancies in energies. We discuss the measures required to get good agreement in the energies for equivalent starting configurations between the simulation programs, and the energy differences that occur when simulations are run with program-specific default simulation parameter values. Finally, we discuss what was required to automate this conversion and comparison.","author":[{"dropping-particle":"","family":"Shirts","given":"Michael R.","non-dropping-particle":"","parse-names":false,"suffix":""},{"dropping-particle":"","family":"Klein","given":"Christoph","non-dropping-particle":"","parse-names":false,"suffix":""},{"dropping-particle":"","family":"Swails","given":"Jason M.","non-dropping-particle":"","parse-names":false,"suffix":""},{"dropping-particle":"","family":"Yin","given":"Jian","non-dropping-particle":"","parse-names":false,"suffix":""},{"dropping-particle":"","family":"Gilson","given":"Michael K.","non-dropping-particle":"","parse-names":false,"suffix":""},{"dropping-particle":"","family":"Mobley","given":"David L.","non-dropping-particle":"","parse-names":false,"suffix":""},{"dropping-particle":"","family":"Case","given":"David A.","non-dropping-particle":"","parse-names":false,"suffix":""},{"dropping-particle":"","family":"Zhong","given":"Ellen D.","non-dropping-particle":"","parse-names":false,"suffix":""}],"container-title":"Journal of Computer-Aided Molecular Design","id":"ITEM-1","issue":"1","issued":{"date-parts":[["2017"]]},"page":"147-161","publisher":"Springer International Publishing","title":"Lessons learned from comparing molecular dynamics engines on the SAMPL5 dataset","type":"article-journal","volume":"31"},"uris":["http://www.mendeley.com/documents/?uuid=f3264929-1cc5-4be0-9a02-566aa617a612"]}],"mendeley":{"formattedCitation":"(2)","plainTextFormattedCitation":"(2)","previouslyFormattedCitation":"(2)"},"properties":{"noteIndex":0},"schema":"https://github.com/citation-style-language/schema/raw/master/csl-citation.json"}</w:instrText>
      </w:r>
      <w:r w:rsidRPr="004A7C6A">
        <w:rPr>
          <w:rFonts w:ascii="Times New Roman" w:hAnsi="Times New Roman" w:cs="Times New Roman"/>
          <w:sz w:val="24"/>
          <w:szCs w:val="24"/>
        </w:rPr>
        <w:fldChar w:fldCharType="separate"/>
      </w:r>
      <w:r w:rsidR="00F33ACB" w:rsidRPr="00F33ACB">
        <w:rPr>
          <w:rFonts w:ascii="Times New Roman" w:hAnsi="Times New Roman" w:cs="Times New Roman"/>
          <w:noProof/>
          <w:sz w:val="24"/>
          <w:szCs w:val="24"/>
        </w:rPr>
        <w:t>(2)</w:t>
      </w:r>
      <w:r w:rsidRPr="004A7C6A">
        <w:rPr>
          <w:rFonts w:ascii="Times New Roman" w:hAnsi="Times New Roman" w:cs="Times New Roman"/>
          <w:sz w:val="24"/>
          <w:szCs w:val="24"/>
        </w:rPr>
        <w:fldChar w:fldCharType="end"/>
      </w:r>
      <w:r w:rsidRPr="004A7C6A">
        <w:rPr>
          <w:rFonts w:ascii="Times New Roman" w:hAnsi="Times New Roman" w:cs="Times New Roman"/>
          <w:sz w:val="24"/>
          <w:szCs w:val="24"/>
        </w:rPr>
        <w:t>. Energy minimization was then performed using the steepest descent strategy with a force limit of 1000 (kJ/</w:t>
      </w:r>
      <w:proofErr w:type="spellStart"/>
      <w:r w:rsidRPr="004A7C6A">
        <w:rPr>
          <w:rFonts w:ascii="Times New Roman" w:hAnsi="Times New Roman" w:cs="Times New Roman"/>
          <w:sz w:val="24"/>
          <w:szCs w:val="24"/>
        </w:rPr>
        <w:t>mol</w:t>
      </w:r>
      <w:proofErr w:type="spellEnd"/>
      <w:r w:rsidRPr="004A7C6A">
        <w:rPr>
          <w:rFonts w:ascii="Times New Roman" w:hAnsi="Times New Roman" w:cs="Times New Roman"/>
          <w:sz w:val="24"/>
          <w:szCs w:val="24"/>
        </w:rPr>
        <w:t xml:space="preserve">/nm) over 50000 steps. </w:t>
      </w:r>
    </w:p>
    <w:p w:rsidR="004A7C6A" w:rsidRPr="004A7C6A" w:rsidRDefault="004A7C6A" w:rsidP="00A41FE7">
      <w:pPr>
        <w:spacing w:before="240" w:after="240" w:line="480" w:lineRule="auto"/>
        <w:ind w:left="270"/>
        <w:contextualSpacing/>
        <w:jc w:val="both"/>
        <w:rPr>
          <w:rFonts w:ascii="Times New Roman" w:hAnsi="Times New Roman" w:cs="Times New Roman"/>
          <w:sz w:val="24"/>
          <w:szCs w:val="24"/>
        </w:rPr>
      </w:pPr>
      <w:r w:rsidRPr="004A7C6A">
        <w:rPr>
          <w:rFonts w:ascii="Times New Roman" w:hAnsi="Times New Roman" w:cs="Times New Roman"/>
          <w:sz w:val="24"/>
          <w:szCs w:val="24"/>
        </w:rPr>
        <w:t xml:space="preserve">Subsequently, each system was independently equilibrated in the canonical ensemble (NVT) and isothermal isobaric ensemble (NPT), with conservation of moles (N), volume (V), and temperature (T). Equilibration involved simulation runs of 100 </w:t>
      </w:r>
      <w:proofErr w:type="spellStart"/>
      <w:r w:rsidRPr="004A7C6A">
        <w:rPr>
          <w:rFonts w:ascii="Times New Roman" w:hAnsi="Times New Roman" w:cs="Times New Roman"/>
          <w:sz w:val="24"/>
          <w:szCs w:val="24"/>
        </w:rPr>
        <w:t>ps</w:t>
      </w:r>
      <w:proofErr w:type="spellEnd"/>
      <w:r w:rsidRPr="004A7C6A">
        <w:rPr>
          <w:rFonts w:ascii="Times New Roman" w:hAnsi="Times New Roman" w:cs="Times New Roman"/>
          <w:sz w:val="24"/>
          <w:szCs w:val="24"/>
        </w:rPr>
        <w:t xml:space="preserve"> (50,000 steps) using a time step of 2 fs.</w:t>
      </w:r>
    </w:p>
    <w:p w:rsidR="004A7C6A" w:rsidRPr="004A7C6A" w:rsidRDefault="004A7C6A" w:rsidP="00A41FE7">
      <w:pPr>
        <w:spacing w:before="240" w:after="240" w:line="480" w:lineRule="auto"/>
        <w:ind w:left="270"/>
        <w:contextualSpacing/>
        <w:jc w:val="both"/>
        <w:rPr>
          <w:rFonts w:ascii="Times New Roman" w:hAnsi="Times New Roman" w:cs="Times New Roman"/>
          <w:sz w:val="24"/>
          <w:szCs w:val="24"/>
        </w:rPr>
      </w:pPr>
      <w:r w:rsidRPr="004A7C6A">
        <w:rPr>
          <w:rFonts w:ascii="Times New Roman" w:hAnsi="Times New Roman" w:cs="Times New Roman"/>
          <w:sz w:val="24"/>
          <w:szCs w:val="24"/>
        </w:rPr>
        <w:lastRenderedPageBreak/>
        <w:t>In the NPT ensemble, the system was allowed to exchange energy and particles with the surrounding environment, while also maintaining a constant temperature and pressure. This ensemble accounted for both thermal and mechanical equilibrium.</w:t>
      </w:r>
    </w:p>
    <w:p w:rsidR="004A7C6A" w:rsidRPr="004A7C6A" w:rsidRDefault="004A7C6A" w:rsidP="00A41FE7">
      <w:pPr>
        <w:spacing w:before="240" w:after="240" w:line="480" w:lineRule="auto"/>
        <w:ind w:left="270"/>
        <w:contextualSpacing/>
        <w:jc w:val="both"/>
        <w:rPr>
          <w:rFonts w:ascii="Times New Roman" w:hAnsi="Times New Roman" w:cs="Times New Roman"/>
          <w:sz w:val="24"/>
          <w:szCs w:val="24"/>
        </w:rPr>
      </w:pPr>
      <w:r w:rsidRPr="004A7C6A">
        <w:rPr>
          <w:rFonts w:ascii="Times New Roman" w:hAnsi="Times New Roman" w:cs="Times New Roman"/>
          <w:sz w:val="24"/>
          <w:szCs w:val="24"/>
        </w:rPr>
        <w:t>Overall, these equilibration steps helped prepare the system for further analysis and simulations by ensuring that the initial conditions were appropriate and consistent with the desired ensemble</w:t>
      </w:r>
      <w:r w:rsidRPr="004A7C6A">
        <w:rPr>
          <w:rFonts w:ascii="Times New Roman" w:hAnsi="Times New Roman" w:cs="Times New Roman"/>
          <w:sz w:val="24"/>
          <w:szCs w:val="24"/>
        </w:rPr>
        <w:fldChar w:fldCharType="begin" w:fldLock="1"/>
      </w:r>
      <w:r w:rsidR="00F33ACB">
        <w:rPr>
          <w:rFonts w:ascii="Times New Roman" w:hAnsi="Times New Roman" w:cs="Times New Roman"/>
          <w:sz w:val="24"/>
          <w:szCs w:val="24"/>
        </w:rPr>
        <w:instrText>ADDIN CSL_CITATION {"citationItems":[{"id":"ITEM-1","itemData":{"DOI":"10.1016/J.GENE.2023.147443","ISSN":"0378-1119","PMID":"37105505","abstract":"Schizophrenia is a complex neuropsychiatric disorder and heritability is as high as 80 % making it the most heritable mental disorder. Although GWAS has identified numerous variants, the pathophysiology is still elusive. Here, an attempt was made to identify genetic risk factors in familial cases of schizophrenia that are associated with a common causative pathway. To achieve this objective, exome sequencing was done in 4 familial cases and identified six unique coding variants in five genes. Among these genes, PIGQ gene has two pathogenic variants, one nonsense and in-frame deletion. One missense variant in GALNT16 and one in GALNT5 have variable damaging score, however, the other variants, in ADAMTS9 and in LTBP4 have the highest damaging score. Further analysis showed that the variant of LTBP4 was not present in the functional domain. The other missense variant in the ADAMTS9 gene was found to be significant and was present in the thrombospondin repeat motif, one of the important motifs. Detailed molecular dynamics simulation study on this variant showed a damaging effect on structural stability. Since, all these genes culminated into the glycosylation process, it was evident that an aberrant glycosylation process may be one of the risk factors. Although, extracellular matrix formation through glycosylation have been shown to be associated, the involvement of ADAMTS9 and PIGQ gene mediated glycosylation has not been reported. In this paper, a novel link between ADAMTS9 and PIGQ gene with schizophrenia have been reported. Therefore, this novel observation has contributed immensely to the existing knowledge on risk factor of Schizophrenia.","author":[{"dropping-particle":"","family":"Shekhar","given":"Bipin Raj","non-dropping-particle":"","parse-names":false,"suffix":""},{"dropping-particle":"","family":"Rupani","given":"Karishma","non-dropping-particle":"","parse-names":false,"suffix":""},{"dropping-particle":"","family":"Parkar","given":"Shubhangi Raghunath","non-dropping-particle":"","parse-names":false,"suffix":""},{"dropping-particle":"","family":"Nayak","given":"Ajita Sunil","non-dropping-particle":"","parse-names":false,"suffix":""},{"dropping-particle":"","family":"Kumbhar","given":"Bajarang Vasant","non-dropping-particle":"","parse-names":false,"suffix":""},{"dropping-particle":"","family":"Khare","given":"Satyajeet P.","non-dropping-particle":"","parse-names":false,"suffix":""},{"dropping-particle":"","family":"Menon","given":"Shyla","non-dropping-particle":"","parse-names":false,"suffix":""},{"dropping-particle":"","family":"Gawde","given":"Harshavardhan","non-dropping-particle":"","parse-names":false,"suffix":""},{"dropping-particle":"","family":"Das","given":"Dhanjit Kumar","non-dropping-particle":"","parse-names":false,"suffix":""}],"container-title":"Gene","id":"ITEM-1","issued":{"date-parts":[["2023","7","1"]]},"page":"147443","publisher":"Elsevier","title":"Identifying novel risk conferring genes involved in glycosylation processes with familial schizophrenia in an Indian cohort: Prediction of ADAMTS9 gene variant for structural stability","type":"article-journal","volume":"872"},"uris":["http://www.mendeley.com/documents/?uuid=eee9fb0e-fa2c-3e94-b400-2c456320691b"]}],"mendeley":{"formattedCitation":"(3)","plainTextFormattedCitation":"(3)","previouslyFormattedCitation":"(3)"},"properties":{"noteIndex":0},"schema":"https://github.com/citation-style-language/schema/raw/master/csl-citation.json"}</w:instrText>
      </w:r>
      <w:r w:rsidRPr="004A7C6A">
        <w:rPr>
          <w:rFonts w:ascii="Times New Roman" w:hAnsi="Times New Roman" w:cs="Times New Roman"/>
          <w:sz w:val="24"/>
          <w:szCs w:val="24"/>
        </w:rPr>
        <w:fldChar w:fldCharType="separate"/>
      </w:r>
      <w:r w:rsidR="00F33ACB" w:rsidRPr="00F33ACB">
        <w:rPr>
          <w:rFonts w:ascii="Times New Roman" w:hAnsi="Times New Roman" w:cs="Times New Roman"/>
          <w:noProof/>
          <w:sz w:val="24"/>
          <w:szCs w:val="24"/>
        </w:rPr>
        <w:t>(3)</w:t>
      </w:r>
      <w:r w:rsidRPr="004A7C6A">
        <w:rPr>
          <w:rFonts w:ascii="Times New Roman" w:hAnsi="Times New Roman" w:cs="Times New Roman"/>
          <w:sz w:val="24"/>
          <w:szCs w:val="24"/>
        </w:rPr>
        <w:fldChar w:fldCharType="end"/>
      </w:r>
      <w:r w:rsidRPr="004A7C6A">
        <w:rPr>
          <w:rFonts w:ascii="Times New Roman" w:hAnsi="Times New Roman" w:cs="Times New Roman"/>
          <w:sz w:val="24"/>
          <w:szCs w:val="24"/>
        </w:rPr>
        <w:t>. The velocity-rescale thermostat, helped in maintaining specific temperature and pressure conditions in molecular dynamics simulations. In this case, the temperature is set to 300 K, while the pressure is maintained at 1 bar. (</w:t>
      </w:r>
      <w:proofErr w:type="spellStart"/>
      <w:r w:rsidRPr="004A7C6A">
        <w:rPr>
          <w:rFonts w:ascii="Times New Roman" w:hAnsi="Times New Roman" w:cs="Times New Roman"/>
          <w:sz w:val="24"/>
          <w:szCs w:val="24"/>
        </w:rPr>
        <w:t>Bussi</w:t>
      </w:r>
      <w:proofErr w:type="spellEnd"/>
      <w:r w:rsidRPr="004A7C6A">
        <w:rPr>
          <w:rFonts w:ascii="Times New Roman" w:hAnsi="Times New Roman" w:cs="Times New Roman"/>
          <w:sz w:val="24"/>
          <w:szCs w:val="24"/>
        </w:rPr>
        <w:t xml:space="preserve"> et al., 2007)</w:t>
      </w:r>
      <w:r w:rsidRPr="004A7C6A">
        <w:rPr>
          <w:rFonts w:ascii="Times New Roman" w:hAnsi="Times New Roman" w:cs="Times New Roman"/>
          <w:sz w:val="24"/>
          <w:szCs w:val="24"/>
        </w:rPr>
        <w:fldChar w:fldCharType="begin" w:fldLock="1"/>
      </w:r>
      <w:r w:rsidR="00F33ACB">
        <w:rPr>
          <w:rFonts w:ascii="Times New Roman" w:hAnsi="Times New Roman" w:cs="Times New Roman"/>
          <w:sz w:val="24"/>
          <w:szCs w:val="24"/>
        </w:rPr>
        <w:instrText>ADDIN CSL_CITATION {"citationItems":[{"id":"ITEM-1","itemData":{"DOI":"10.1063/1.2408420","ISSN":"00219606","PMID":"17212484","abstract":"The authors present a new molecular dynamics algorithm for sampling the canonical distribution. In this approach the velocities of all the particles are rescaled by a properly chosen random factor. The algorithm is formally justified and it is shown that, in spite of its stochastic nature, a quantity can still be defined that remains constant during the evolution. In numerical applications this quantity can be used to measure the accuracy of the sampling. The authors illustrate the properties of this new method on Lennard-Jones and TIP4P water models in the solid and liquid phases. Its performance is excellent and largely independent of the thermostat parameter also with regard to the dynamic properties. © 2007 American Institute of Physics.","author":[{"dropping-particle":"","family":"Bussi","given":"Giovanni","non-dropping-particle":"","parse-names":false,"suffix":""},{"dropping-particle":"","family":"Donadio","given":"Davide","non-dropping-particle":"","parse-names":false,"suffix":""},{"dropping-particle":"","family":"Parrinello","given":"Michele","non-dropping-particle":"","parse-names":false,"suffix":""}],"container-title":"Journal of Chemical Physics","id":"ITEM-1","issue":"1","issued":{"date-parts":[["2007"]]},"title":"Canonical sampling through velocity rescaling","type":"article-journal","volume":"126"},"uris":["http://www.mendeley.com/documents/?uuid=181e9b47-d358-40b7-b2dd-7fb440a584c8"]}],"mendeley":{"formattedCitation":"(4)","plainTextFormattedCitation":"(4)","previouslyFormattedCitation":"(4)"},"properties":{"noteIndex":0},"schema":"https://github.com/citation-style-language/schema/raw/master/csl-citation.json"}</w:instrText>
      </w:r>
      <w:r w:rsidRPr="004A7C6A">
        <w:rPr>
          <w:rFonts w:ascii="Times New Roman" w:hAnsi="Times New Roman" w:cs="Times New Roman"/>
          <w:sz w:val="24"/>
          <w:szCs w:val="24"/>
        </w:rPr>
        <w:fldChar w:fldCharType="separate"/>
      </w:r>
      <w:r w:rsidR="00F33ACB" w:rsidRPr="00F33ACB">
        <w:rPr>
          <w:rFonts w:ascii="Times New Roman" w:hAnsi="Times New Roman" w:cs="Times New Roman"/>
          <w:noProof/>
          <w:sz w:val="24"/>
          <w:szCs w:val="24"/>
        </w:rPr>
        <w:t>(4)</w:t>
      </w:r>
      <w:r w:rsidRPr="004A7C6A">
        <w:rPr>
          <w:rFonts w:ascii="Times New Roman" w:hAnsi="Times New Roman" w:cs="Times New Roman"/>
          <w:sz w:val="24"/>
          <w:szCs w:val="24"/>
        </w:rPr>
        <w:fldChar w:fldCharType="end"/>
      </w:r>
      <w:r w:rsidRPr="004A7C6A">
        <w:rPr>
          <w:rFonts w:ascii="Times New Roman" w:hAnsi="Times New Roman" w:cs="Times New Roman"/>
          <w:sz w:val="24"/>
          <w:szCs w:val="24"/>
        </w:rPr>
        <w:t xml:space="preserve"> and </w:t>
      </w:r>
      <w:proofErr w:type="spellStart"/>
      <w:r w:rsidRPr="004A7C6A">
        <w:rPr>
          <w:rFonts w:ascii="Times New Roman" w:hAnsi="Times New Roman" w:cs="Times New Roman"/>
          <w:sz w:val="24"/>
          <w:szCs w:val="24"/>
        </w:rPr>
        <w:t>Parrinello</w:t>
      </w:r>
      <w:proofErr w:type="spellEnd"/>
      <w:r w:rsidRPr="004A7C6A">
        <w:rPr>
          <w:rFonts w:ascii="Times New Roman" w:hAnsi="Times New Roman" w:cs="Times New Roman"/>
          <w:sz w:val="24"/>
          <w:szCs w:val="24"/>
        </w:rPr>
        <w:t xml:space="preserve"> Rahman </w:t>
      </w:r>
      <w:proofErr w:type="spellStart"/>
      <w:r w:rsidRPr="004A7C6A">
        <w:rPr>
          <w:rFonts w:ascii="Times New Roman" w:hAnsi="Times New Roman" w:cs="Times New Roman"/>
          <w:sz w:val="24"/>
          <w:szCs w:val="24"/>
        </w:rPr>
        <w:t>barostat</w:t>
      </w:r>
      <w:proofErr w:type="spellEnd"/>
      <w:r w:rsidRPr="004A7C6A">
        <w:rPr>
          <w:rFonts w:ascii="Times New Roman" w:hAnsi="Times New Roman" w:cs="Times New Roman"/>
          <w:sz w:val="24"/>
          <w:szCs w:val="24"/>
        </w:rPr>
        <w:t xml:space="preserve"> (Michele </w:t>
      </w:r>
      <w:proofErr w:type="spellStart"/>
      <w:r w:rsidRPr="004A7C6A">
        <w:rPr>
          <w:rFonts w:ascii="Times New Roman" w:hAnsi="Times New Roman" w:cs="Times New Roman"/>
          <w:sz w:val="24"/>
          <w:szCs w:val="24"/>
        </w:rPr>
        <w:t>Parrinello</w:t>
      </w:r>
      <w:proofErr w:type="spellEnd"/>
      <w:r w:rsidRPr="004A7C6A">
        <w:rPr>
          <w:rFonts w:ascii="Times New Roman" w:hAnsi="Times New Roman" w:cs="Times New Roman"/>
          <w:sz w:val="24"/>
          <w:szCs w:val="24"/>
        </w:rPr>
        <w:t>, 1981)</w:t>
      </w:r>
      <w:r w:rsidRPr="004A7C6A">
        <w:rPr>
          <w:rFonts w:ascii="Times New Roman" w:hAnsi="Times New Roman" w:cs="Times New Roman"/>
          <w:sz w:val="24"/>
          <w:szCs w:val="24"/>
        </w:rPr>
        <w:fldChar w:fldCharType="begin" w:fldLock="1"/>
      </w:r>
      <w:r w:rsidR="00F33ACB">
        <w:rPr>
          <w:rFonts w:ascii="Times New Roman" w:hAnsi="Times New Roman" w:cs="Times New Roman"/>
          <w:sz w:val="24"/>
          <w:szCs w:val="24"/>
        </w:rPr>
        <w:instrText>ADDIN CSL_CITATION {"citationItems":[{"id":"ITEM-1","itemData":{"DOI":"10.1063/1.328693","ISSN":"00218979","abstract":"A new Lagrangian formulation is introduced. It can be used to make molecular dynamics (MD) calculations on systems under the most general, externally applied, conditions of stress. In this formulation the MD cell shape and size can change according to dynamical equations given by this Lagrangian. This new MD technique is well suited to the study of structural transformations in solids under external stress and at finite temperature. As an example of the use of this technique we show how a single crystal of Ni behaves under uniform uniaxial compressive and tensile loads. This work confirms some of the results of static (i.e., zero temperature) calculations reported in the literature. We also show that some results regarding the stress-strain relation obtained by static calculations are invalid at finite temperature. We find that, under compressive loading, our model of Ni shows a bifurcation in its stress-strain relation; this bifurcation provides a link in configuration space between cubic and hexagonal close packing. It is suggested that such a transformation could perhaps be observed experimentally under extreme conditions of shock.","author":[{"dropping-particle":"","family":"Parrinello","given":"M.","non-dropping-particle":"","parse-names":false,"suffix":""},{"dropping-particle":"","family":"Rahman","given":"A.","non-dropping-particle":"","parse-names":false,"suffix":""}],"container-title":"Journal of Applied Physics","id":"ITEM-1","issue":"12","issued":{"date-parts":[["1981"]]},"page":"7182-7190","title":"Polymorphic transitions in single crystals: A new molecular dynamics method","type":"article-journal","volume":"52"},"uris":["http://www.mendeley.com/documents/?uuid=9e830e36-df92-4665-a8c0-88db0a18c8b8"]}],"mendeley":{"formattedCitation":"(5)","plainTextFormattedCitation":"(5)","previouslyFormattedCitation":"(5)"},"properties":{"noteIndex":0},"schema":"https://github.com/citation-style-language/schema/raw/master/csl-citation.json"}</w:instrText>
      </w:r>
      <w:r w:rsidRPr="004A7C6A">
        <w:rPr>
          <w:rFonts w:ascii="Times New Roman" w:hAnsi="Times New Roman" w:cs="Times New Roman"/>
          <w:sz w:val="24"/>
          <w:szCs w:val="24"/>
        </w:rPr>
        <w:fldChar w:fldCharType="separate"/>
      </w:r>
      <w:r w:rsidR="00F33ACB" w:rsidRPr="00F33ACB">
        <w:rPr>
          <w:rFonts w:ascii="Times New Roman" w:hAnsi="Times New Roman" w:cs="Times New Roman"/>
          <w:noProof/>
          <w:sz w:val="24"/>
          <w:szCs w:val="24"/>
        </w:rPr>
        <w:t>(5)</w:t>
      </w:r>
      <w:r w:rsidRPr="004A7C6A">
        <w:rPr>
          <w:rFonts w:ascii="Times New Roman" w:hAnsi="Times New Roman" w:cs="Times New Roman"/>
          <w:sz w:val="24"/>
          <w:szCs w:val="24"/>
        </w:rPr>
        <w:fldChar w:fldCharType="end"/>
      </w:r>
      <w:r w:rsidRPr="004A7C6A">
        <w:rPr>
          <w:rFonts w:ascii="Times New Roman" w:hAnsi="Times New Roman" w:cs="Times New Roman"/>
          <w:sz w:val="24"/>
          <w:szCs w:val="24"/>
        </w:rPr>
        <w:t xml:space="preserve"> were used to ensure fully converged systems for the production run.  Specifically, the </w:t>
      </w:r>
      <w:proofErr w:type="spellStart"/>
      <w:r w:rsidRPr="004A7C6A">
        <w:rPr>
          <w:rFonts w:ascii="Times New Roman" w:hAnsi="Times New Roman" w:cs="Times New Roman"/>
          <w:sz w:val="24"/>
          <w:szCs w:val="24"/>
        </w:rPr>
        <w:t>Parrinello</w:t>
      </w:r>
      <w:proofErr w:type="spellEnd"/>
      <w:r w:rsidRPr="004A7C6A">
        <w:rPr>
          <w:rFonts w:ascii="Times New Roman" w:hAnsi="Times New Roman" w:cs="Times New Roman"/>
          <w:sz w:val="24"/>
          <w:szCs w:val="24"/>
        </w:rPr>
        <w:t xml:space="preserve">-Rahman and weak coupling velocity rescaling techniques were utilized to maintain constant temperatures of 300 K and 1 bar, respectively, using an NPT ensemble. Relaxation times of T = 0.1 </w:t>
      </w:r>
      <w:proofErr w:type="spellStart"/>
      <w:r w:rsidRPr="004A7C6A">
        <w:rPr>
          <w:rFonts w:ascii="Times New Roman" w:hAnsi="Times New Roman" w:cs="Times New Roman"/>
          <w:sz w:val="24"/>
          <w:szCs w:val="24"/>
        </w:rPr>
        <w:t>ps</w:t>
      </w:r>
      <w:proofErr w:type="spellEnd"/>
      <w:r w:rsidRPr="004A7C6A">
        <w:rPr>
          <w:rFonts w:ascii="Times New Roman" w:hAnsi="Times New Roman" w:cs="Times New Roman"/>
          <w:sz w:val="24"/>
          <w:szCs w:val="24"/>
        </w:rPr>
        <w:t xml:space="preserve"> and P = 2.0 </w:t>
      </w:r>
      <w:proofErr w:type="spellStart"/>
      <w:r w:rsidRPr="004A7C6A">
        <w:rPr>
          <w:rFonts w:ascii="Times New Roman" w:hAnsi="Times New Roman" w:cs="Times New Roman"/>
          <w:sz w:val="24"/>
          <w:szCs w:val="24"/>
        </w:rPr>
        <w:t>ps</w:t>
      </w:r>
      <w:proofErr w:type="spellEnd"/>
      <w:r w:rsidRPr="004A7C6A">
        <w:rPr>
          <w:rFonts w:ascii="Times New Roman" w:hAnsi="Times New Roman" w:cs="Times New Roman"/>
          <w:sz w:val="24"/>
          <w:szCs w:val="24"/>
        </w:rPr>
        <w:t xml:space="preserve"> were selected for this purpose. To maintain the optimal lengths of all bond lengths, including hydrogen atoms, the </w:t>
      </w:r>
      <w:proofErr w:type="spellStart"/>
      <w:r w:rsidRPr="004A7C6A">
        <w:rPr>
          <w:rFonts w:ascii="Times New Roman" w:hAnsi="Times New Roman" w:cs="Times New Roman"/>
          <w:sz w:val="24"/>
          <w:szCs w:val="24"/>
        </w:rPr>
        <w:t>LINear</w:t>
      </w:r>
      <w:proofErr w:type="spellEnd"/>
      <w:r w:rsidRPr="004A7C6A">
        <w:rPr>
          <w:rFonts w:ascii="Times New Roman" w:hAnsi="Times New Roman" w:cs="Times New Roman"/>
          <w:sz w:val="24"/>
          <w:szCs w:val="24"/>
        </w:rPr>
        <w:t xml:space="preserve"> Constraint Solver (LINCS) algorithm was applied. The </w:t>
      </w:r>
      <w:proofErr w:type="spellStart"/>
      <w:r w:rsidRPr="004A7C6A">
        <w:rPr>
          <w:rFonts w:ascii="Times New Roman" w:hAnsi="Times New Roman" w:cs="Times New Roman"/>
          <w:sz w:val="24"/>
          <w:szCs w:val="24"/>
        </w:rPr>
        <w:t>Verlet</w:t>
      </w:r>
      <w:proofErr w:type="spellEnd"/>
      <w:r w:rsidRPr="004A7C6A">
        <w:rPr>
          <w:rFonts w:ascii="Times New Roman" w:hAnsi="Times New Roman" w:cs="Times New Roman"/>
          <w:sz w:val="24"/>
          <w:szCs w:val="24"/>
        </w:rPr>
        <w:t xml:space="preserve"> approach was employed for the calculation of non-bonded interactions. At every time step, interactions within a 12-point short-range cut-off were computed. Further, to estimate electrostatic forces and interactions in a homogeneous medium above the short-range limit, the Particle Mesh Ewald (PME) approach was employed. Periodic Boundary Conditions (PBC) were enforced in the x-, y-, and z-directions.</w:t>
      </w:r>
    </w:p>
    <w:p w:rsidR="004A7C6A" w:rsidRPr="004A7C6A" w:rsidRDefault="004A7C6A" w:rsidP="00A41FE7">
      <w:pPr>
        <w:spacing w:before="240" w:after="240" w:line="480" w:lineRule="auto"/>
        <w:ind w:left="270"/>
        <w:jc w:val="both"/>
        <w:rPr>
          <w:rFonts w:ascii="Times New Roman" w:hAnsi="Times New Roman" w:cs="Times New Roman"/>
          <w:sz w:val="24"/>
          <w:szCs w:val="24"/>
        </w:rPr>
      </w:pPr>
      <w:r w:rsidRPr="004A7C6A">
        <w:rPr>
          <w:rFonts w:ascii="Times New Roman" w:hAnsi="Times New Roman" w:cs="Times New Roman"/>
          <w:sz w:val="24"/>
          <w:szCs w:val="24"/>
        </w:rPr>
        <w:t xml:space="preserve">Each of the five complexes underwent a production run of 100 ns. Trajectory and energy data were recorded at 10ps intervals for further analysis and interpretation. These rigorous protocols were implemented to ensure reliable and accurate results </w:t>
      </w:r>
      <w:r w:rsidRPr="004A7C6A">
        <w:rPr>
          <w:rFonts w:ascii="Times New Roman" w:hAnsi="Times New Roman" w:cs="Times New Roman"/>
          <w:sz w:val="24"/>
          <w:szCs w:val="24"/>
        </w:rPr>
        <w:fldChar w:fldCharType="begin" w:fldLock="1"/>
      </w:r>
      <w:r w:rsidR="00F33ACB">
        <w:rPr>
          <w:rFonts w:ascii="Times New Roman" w:hAnsi="Times New Roman" w:cs="Times New Roman"/>
          <w:sz w:val="24"/>
          <w:szCs w:val="24"/>
        </w:rPr>
        <w:instrText>ADDIN CSL_CITATION {"citationItems":[{"id":"ITEM-1","itemData":{"DOI":"10.1016/J.GENE.2023.147443","ISSN":"0378-1119","PMID":"37105505","abstract":"Schizophrenia is a complex neuropsychiatric disorder and heritability is as high as 80 % making it the most heritable mental disorder. Although GWAS has identified numerous variants, the pathophysiology is still elusive. Here, an attempt was made to identify genetic risk factors in familial cases of schizophrenia that are associated with a common causative pathway. To achieve this objective, exome sequencing was done in 4 familial cases and identified six unique coding variants in five genes. Among these genes, PIGQ gene has two pathogenic variants, one nonsense and in-frame deletion. One missense variant in GALNT16 and one in GALNT5 have variable damaging score, however, the other variants, in ADAMTS9 and in LTBP4 have the highest damaging score. Further analysis showed that the variant of LTBP4 was not present in the functional domain. The other missense variant in the ADAMTS9 gene was found to be significant and was present in the thrombospondin repeat motif, one of the important motifs. Detailed molecular dynamics simulation study on this variant showed a damaging effect on structural stability. Since, all these genes culminated into the glycosylation process, it was evident that an aberrant glycosylation process may be one of the risk factors. Although, extracellular matrix formation through glycosylation have been shown to be associated, the involvement of ADAMTS9 and PIGQ gene mediated glycosylation has not been reported. In this paper, a novel link between ADAMTS9 and PIGQ gene with schizophrenia have been reported. Therefore, this novel observation has contributed immensely to the existing knowledge on risk factor of Schizophrenia.","author":[{"dropping-particle":"","family":"Shekhar","given":"Bipin Raj","non-dropping-particle":"","parse-names":false,"suffix":""},{"dropping-particle":"","family":"Rupani","given":"Karishma","non-dropping-particle":"","parse-names":false,"suffix":""},{"dropping-particle":"","family":"Parkar","given":"Shubhangi Raghunath","non-dropping-particle":"","parse-names":false,"suffix":""},{"dropping-particle":"","family":"Nayak","given":"Ajita Sunil","non-dropping-particle":"","parse-names":false,"suffix":""},{"dropping-particle":"","family":"Kumbhar","given":"Bajarang Vasant","non-dropping-particle":"","parse-names":false,"suffix":""},{"dropping-particle":"","family":"Khare","given":"Satyajeet P.","non-dropping-particle":"","parse-names":false,"suffix":""},{"dropping-particle":"","family":"Menon","given":"Shyla","non-dropping-particle":"","parse-names":false,"suffix":""},{"dropping-particle":"","family":"Gawde","given":"Harshavardhan","non-dropping-particle":"","parse-names":false,"suffix":""},{"dropping-particle":"","family":"Das","given":"Dhanjit Kumar","non-dropping-particle":"","parse-names":false,"suffix":""}],"container-title":"Gene","id":"ITEM-1","issued":{"date-parts":[["2023","7","1"]]},"page":"147443","publisher":"Elsevier","title":"Identifying novel risk conferring genes involved in glycosylation processes with familial schizophrenia in an Indian cohort: Prediction of ADAMTS9 gene variant for structural stability","type":"article-journal","volume":"872"},"uris":["http://www.mendeley.com/documents/?uuid=eee9fb0e-fa2c-3e94-b400-2c456320691b"]}],"mendeley":{"formattedCitation":"(3)","plainTextFormattedCitation":"(3)","previouslyFormattedCitation":"(3)"},"properties":{"noteIndex":0},"schema":"https://github.com/citation-style-language/schema/raw/master/csl-citation.json"}</w:instrText>
      </w:r>
      <w:r w:rsidRPr="004A7C6A">
        <w:rPr>
          <w:rFonts w:ascii="Times New Roman" w:hAnsi="Times New Roman" w:cs="Times New Roman"/>
          <w:sz w:val="24"/>
          <w:szCs w:val="24"/>
        </w:rPr>
        <w:fldChar w:fldCharType="separate"/>
      </w:r>
      <w:r w:rsidR="00F33ACB" w:rsidRPr="00F33ACB">
        <w:rPr>
          <w:rFonts w:ascii="Times New Roman" w:hAnsi="Times New Roman" w:cs="Times New Roman"/>
          <w:noProof/>
          <w:sz w:val="24"/>
          <w:szCs w:val="24"/>
        </w:rPr>
        <w:t>(3)</w:t>
      </w:r>
      <w:r w:rsidRPr="004A7C6A">
        <w:rPr>
          <w:rFonts w:ascii="Times New Roman" w:hAnsi="Times New Roman" w:cs="Times New Roman"/>
          <w:sz w:val="24"/>
          <w:szCs w:val="24"/>
        </w:rPr>
        <w:fldChar w:fldCharType="end"/>
      </w:r>
      <w:r w:rsidRPr="004A7C6A">
        <w:rPr>
          <w:rFonts w:ascii="Times New Roman" w:hAnsi="Times New Roman" w:cs="Times New Roman"/>
          <w:sz w:val="24"/>
          <w:szCs w:val="24"/>
        </w:rPr>
        <w:t xml:space="preserve">. All the charts in this </w:t>
      </w:r>
      <w:r w:rsidRPr="004A7C6A">
        <w:rPr>
          <w:rFonts w:ascii="Times New Roman" w:hAnsi="Times New Roman" w:cs="Times New Roman"/>
          <w:sz w:val="24"/>
          <w:szCs w:val="24"/>
        </w:rPr>
        <w:lastRenderedPageBreak/>
        <w:t xml:space="preserve">study were generated using </w:t>
      </w:r>
      <w:proofErr w:type="spellStart"/>
      <w:r w:rsidRPr="004A7C6A">
        <w:rPr>
          <w:rFonts w:ascii="Times New Roman" w:hAnsi="Times New Roman" w:cs="Times New Roman"/>
          <w:sz w:val="24"/>
          <w:szCs w:val="24"/>
        </w:rPr>
        <w:t>GRaphing</w:t>
      </w:r>
      <w:proofErr w:type="spellEnd"/>
      <w:r w:rsidRPr="004A7C6A">
        <w:rPr>
          <w:rFonts w:ascii="Times New Roman" w:hAnsi="Times New Roman" w:cs="Times New Roman"/>
          <w:sz w:val="24"/>
          <w:szCs w:val="24"/>
        </w:rPr>
        <w:t>, Advanced Computation and Exploration of Data (Grace) (</w:t>
      </w:r>
      <w:hyperlink r:id="rId6" w:history="1">
        <w:r w:rsidRPr="004A7C6A">
          <w:rPr>
            <w:rFonts w:ascii="Times New Roman" w:hAnsi="Times New Roman" w:cs="Times New Roman"/>
            <w:sz w:val="24"/>
            <w:szCs w:val="24"/>
            <w:u w:val="single"/>
          </w:rPr>
          <w:t>https://plasma-gate.weizmann.ac.il/Grace</w:t>
        </w:r>
      </w:hyperlink>
      <w:r w:rsidRPr="004A7C6A">
        <w:rPr>
          <w:rFonts w:ascii="Times New Roman" w:hAnsi="Times New Roman" w:cs="Times New Roman"/>
          <w:sz w:val="24"/>
          <w:szCs w:val="24"/>
        </w:rPr>
        <w:t>,).</w:t>
      </w:r>
      <w:r w:rsidR="00330A59">
        <w:rPr>
          <w:rFonts w:ascii="Times New Roman" w:hAnsi="Times New Roman" w:cs="Times New Roman"/>
          <w:sz w:val="24"/>
          <w:szCs w:val="24"/>
        </w:rPr>
        <w:br w:type="page"/>
      </w:r>
    </w:p>
    <w:p w:rsidR="004A7C6A" w:rsidRPr="00F33ACB" w:rsidRDefault="004A7C6A" w:rsidP="005F2D72">
      <w:pPr>
        <w:spacing w:line="480" w:lineRule="auto"/>
        <w:jc w:val="both"/>
        <w:rPr>
          <w:rFonts w:ascii="Times New Roman" w:hAnsi="Times New Roman" w:cs="Times New Roman"/>
          <w:b/>
          <w:sz w:val="24"/>
          <w:szCs w:val="24"/>
        </w:rPr>
      </w:pPr>
      <w:r w:rsidRPr="0055056E">
        <w:rPr>
          <w:rFonts w:ascii="Times New Roman" w:hAnsi="Times New Roman" w:cs="Times New Roman"/>
          <w:b/>
          <w:sz w:val="24"/>
          <w:szCs w:val="24"/>
        </w:rPr>
        <w:t>References:</w:t>
      </w:r>
    </w:p>
    <w:p w:rsidR="00F33ACB" w:rsidRPr="00F33ACB" w:rsidRDefault="004A7C6A" w:rsidP="005F2D72">
      <w:pPr>
        <w:widowControl w:val="0"/>
        <w:autoSpaceDE w:val="0"/>
        <w:autoSpaceDN w:val="0"/>
        <w:adjustRightInd w:val="0"/>
        <w:spacing w:line="480" w:lineRule="auto"/>
        <w:ind w:left="640" w:hanging="640"/>
        <w:jc w:val="both"/>
        <w:rPr>
          <w:rFonts w:ascii="Times New Roman" w:hAnsi="Times New Roman" w:cs="Times New Roman"/>
          <w:noProof/>
          <w:sz w:val="24"/>
          <w:szCs w:val="24"/>
        </w:rPr>
      </w:pPr>
      <w:r w:rsidRPr="004A7C6A">
        <w:rPr>
          <w:rFonts w:ascii="Times New Roman" w:hAnsi="Times New Roman" w:cs="Times New Roman"/>
          <w:sz w:val="24"/>
          <w:szCs w:val="24"/>
        </w:rPr>
        <w:fldChar w:fldCharType="begin" w:fldLock="1"/>
      </w:r>
      <w:r w:rsidRPr="004A7C6A">
        <w:rPr>
          <w:rFonts w:ascii="Times New Roman" w:hAnsi="Times New Roman" w:cs="Times New Roman"/>
          <w:sz w:val="24"/>
          <w:szCs w:val="24"/>
        </w:rPr>
        <w:instrText xml:space="preserve">ADDIN Mendeley Bibliography CSL_BIBLIOGRAPHY </w:instrText>
      </w:r>
      <w:r w:rsidRPr="004A7C6A">
        <w:rPr>
          <w:rFonts w:ascii="Times New Roman" w:hAnsi="Times New Roman" w:cs="Times New Roman"/>
          <w:sz w:val="24"/>
          <w:szCs w:val="24"/>
        </w:rPr>
        <w:fldChar w:fldCharType="separate"/>
      </w:r>
      <w:r w:rsidR="00F33ACB" w:rsidRPr="00F33ACB">
        <w:rPr>
          <w:rFonts w:ascii="Times New Roman" w:hAnsi="Times New Roman" w:cs="Times New Roman"/>
          <w:noProof/>
          <w:sz w:val="24"/>
          <w:szCs w:val="24"/>
        </w:rPr>
        <w:t xml:space="preserve">1. </w:t>
      </w:r>
      <w:r w:rsidR="00F33ACB" w:rsidRPr="00F33ACB">
        <w:rPr>
          <w:rFonts w:ascii="Times New Roman" w:hAnsi="Times New Roman" w:cs="Times New Roman"/>
          <w:noProof/>
          <w:sz w:val="24"/>
          <w:szCs w:val="24"/>
        </w:rPr>
        <w:tab/>
        <w:t xml:space="preserve">Van Der Spoel D, Lindahl E, Hess B, Groenhof G, Mark AE, Berendsen HJC. GROMACS: Fast, flexible, and free. J Comput Chem. 2005;26(16):1701–18. </w:t>
      </w:r>
    </w:p>
    <w:p w:rsidR="00F33ACB" w:rsidRPr="00F33ACB" w:rsidRDefault="00F33ACB" w:rsidP="005F2D72">
      <w:pPr>
        <w:widowControl w:val="0"/>
        <w:autoSpaceDE w:val="0"/>
        <w:autoSpaceDN w:val="0"/>
        <w:adjustRightInd w:val="0"/>
        <w:spacing w:line="480" w:lineRule="auto"/>
        <w:ind w:left="640" w:hanging="640"/>
        <w:jc w:val="both"/>
        <w:rPr>
          <w:rFonts w:ascii="Times New Roman" w:hAnsi="Times New Roman" w:cs="Times New Roman"/>
          <w:noProof/>
          <w:sz w:val="24"/>
          <w:szCs w:val="24"/>
        </w:rPr>
      </w:pPr>
      <w:r w:rsidRPr="00F33ACB">
        <w:rPr>
          <w:rFonts w:ascii="Times New Roman" w:hAnsi="Times New Roman" w:cs="Times New Roman"/>
          <w:noProof/>
          <w:sz w:val="24"/>
          <w:szCs w:val="24"/>
        </w:rPr>
        <w:t xml:space="preserve">2. </w:t>
      </w:r>
      <w:r w:rsidRPr="00F33ACB">
        <w:rPr>
          <w:rFonts w:ascii="Times New Roman" w:hAnsi="Times New Roman" w:cs="Times New Roman"/>
          <w:noProof/>
          <w:sz w:val="24"/>
          <w:szCs w:val="24"/>
        </w:rPr>
        <w:tab/>
        <w:t xml:space="preserve">Shirts MR, Klein C, Swails JM, Yin J, Gilson MK, Mobley DL, et al. Lessons learned from comparing molecular dynamics engines on the SAMPL5 dataset. J Comput Aided Mol Des. 2017;31(1):147–61. </w:t>
      </w:r>
    </w:p>
    <w:p w:rsidR="00F33ACB" w:rsidRPr="00F33ACB" w:rsidRDefault="00F33ACB" w:rsidP="005F2D72">
      <w:pPr>
        <w:widowControl w:val="0"/>
        <w:autoSpaceDE w:val="0"/>
        <w:autoSpaceDN w:val="0"/>
        <w:adjustRightInd w:val="0"/>
        <w:spacing w:line="480" w:lineRule="auto"/>
        <w:ind w:left="640" w:hanging="640"/>
        <w:jc w:val="both"/>
        <w:rPr>
          <w:rFonts w:ascii="Times New Roman" w:hAnsi="Times New Roman" w:cs="Times New Roman"/>
          <w:noProof/>
          <w:sz w:val="24"/>
          <w:szCs w:val="24"/>
        </w:rPr>
      </w:pPr>
      <w:r w:rsidRPr="00F33ACB">
        <w:rPr>
          <w:rFonts w:ascii="Times New Roman" w:hAnsi="Times New Roman" w:cs="Times New Roman"/>
          <w:noProof/>
          <w:sz w:val="24"/>
          <w:szCs w:val="24"/>
        </w:rPr>
        <w:t xml:space="preserve">3. </w:t>
      </w:r>
      <w:r w:rsidRPr="00F33ACB">
        <w:rPr>
          <w:rFonts w:ascii="Times New Roman" w:hAnsi="Times New Roman" w:cs="Times New Roman"/>
          <w:noProof/>
          <w:sz w:val="24"/>
          <w:szCs w:val="24"/>
        </w:rPr>
        <w:tab/>
        <w:t xml:space="preserve">Shekhar BR, Rupani K, Parkar SR, Nayak AS, Kumbhar BV, Khare SP, et al. Identifying novel risk conferring genes involved in glycosylation processes with familial schizophrenia in an Indian cohort: Prediction of ADAMTS9 gene variant for structural stability. Gene. 2023 Jul 1;872:147443. </w:t>
      </w:r>
    </w:p>
    <w:p w:rsidR="00F33ACB" w:rsidRPr="00F33ACB" w:rsidRDefault="00F33ACB" w:rsidP="005F2D72">
      <w:pPr>
        <w:widowControl w:val="0"/>
        <w:autoSpaceDE w:val="0"/>
        <w:autoSpaceDN w:val="0"/>
        <w:adjustRightInd w:val="0"/>
        <w:spacing w:line="480" w:lineRule="auto"/>
        <w:ind w:left="640" w:hanging="640"/>
        <w:jc w:val="both"/>
        <w:rPr>
          <w:rFonts w:ascii="Times New Roman" w:hAnsi="Times New Roman" w:cs="Times New Roman"/>
          <w:noProof/>
          <w:sz w:val="24"/>
          <w:szCs w:val="24"/>
        </w:rPr>
      </w:pPr>
      <w:r w:rsidRPr="00F33ACB">
        <w:rPr>
          <w:rFonts w:ascii="Times New Roman" w:hAnsi="Times New Roman" w:cs="Times New Roman"/>
          <w:noProof/>
          <w:sz w:val="24"/>
          <w:szCs w:val="24"/>
        </w:rPr>
        <w:t xml:space="preserve">4. </w:t>
      </w:r>
      <w:r w:rsidRPr="00F33ACB">
        <w:rPr>
          <w:rFonts w:ascii="Times New Roman" w:hAnsi="Times New Roman" w:cs="Times New Roman"/>
          <w:noProof/>
          <w:sz w:val="24"/>
          <w:szCs w:val="24"/>
        </w:rPr>
        <w:tab/>
        <w:t xml:space="preserve">Bussi G, Donadio D, Parrinello M. Canonical sampling through velocity rescaling. J Chem Phys. 2007;126(1). </w:t>
      </w:r>
    </w:p>
    <w:p w:rsidR="004A7C6A" w:rsidRPr="004A7C6A" w:rsidRDefault="00F33ACB" w:rsidP="005F2D72">
      <w:pPr>
        <w:widowControl w:val="0"/>
        <w:autoSpaceDE w:val="0"/>
        <w:autoSpaceDN w:val="0"/>
        <w:adjustRightInd w:val="0"/>
        <w:spacing w:line="480" w:lineRule="auto"/>
        <w:ind w:left="640" w:hanging="640"/>
        <w:jc w:val="both"/>
        <w:rPr>
          <w:rFonts w:ascii="Times New Roman" w:hAnsi="Times New Roman" w:cs="Times New Roman"/>
          <w:sz w:val="24"/>
          <w:szCs w:val="24"/>
        </w:rPr>
      </w:pPr>
      <w:r w:rsidRPr="00F33ACB">
        <w:rPr>
          <w:rFonts w:ascii="Times New Roman" w:hAnsi="Times New Roman" w:cs="Times New Roman"/>
          <w:noProof/>
          <w:sz w:val="24"/>
          <w:szCs w:val="24"/>
        </w:rPr>
        <w:t xml:space="preserve">5. </w:t>
      </w:r>
      <w:r w:rsidRPr="00F33ACB">
        <w:rPr>
          <w:rFonts w:ascii="Times New Roman" w:hAnsi="Times New Roman" w:cs="Times New Roman"/>
          <w:noProof/>
          <w:sz w:val="24"/>
          <w:szCs w:val="24"/>
        </w:rPr>
        <w:tab/>
        <w:t xml:space="preserve">Parrinello M, Rahman A. Polymorphic transitions in single crystals: A new molecular dynamics method. J Appl Phys. 1981;52(12):7182–90. </w:t>
      </w:r>
      <w:r w:rsidR="004A7C6A" w:rsidRPr="004A7C6A">
        <w:rPr>
          <w:rFonts w:ascii="Times New Roman" w:hAnsi="Times New Roman" w:cs="Times New Roman"/>
          <w:sz w:val="24"/>
          <w:szCs w:val="24"/>
        </w:rPr>
        <w:fldChar w:fldCharType="end"/>
      </w:r>
      <w:bookmarkStart w:id="0" w:name="_GoBack"/>
      <w:bookmarkEnd w:id="0"/>
    </w:p>
    <w:sectPr w:rsidR="004A7C6A" w:rsidRPr="004A7C6A" w:rsidSect="00B14D85">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753BD8"/>
    <w:multiLevelType w:val="multilevel"/>
    <w:tmpl w:val="321236B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66DF51D1"/>
    <w:multiLevelType w:val="hybridMultilevel"/>
    <w:tmpl w:val="E99CC6F0"/>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C6A"/>
    <w:rsid w:val="00330A59"/>
    <w:rsid w:val="004A7C6A"/>
    <w:rsid w:val="0055056E"/>
    <w:rsid w:val="005F2D72"/>
    <w:rsid w:val="00670E61"/>
    <w:rsid w:val="00A0630F"/>
    <w:rsid w:val="00A41FE7"/>
    <w:rsid w:val="00A863CC"/>
    <w:rsid w:val="00B14D85"/>
    <w:rsid w:val="00EA0F58"/>
    <w:rsid w:val="00F33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CC677"/>
  <w15:docId w15:val="{2C9C9D7B-ABAE-417B-BCDB-7D97A2FDB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7C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B14D85"/>
  </w:style>
  <w:style w:type="paragraph" w:styleId="ListParagraph">
    <w:name w:val="List Paragraph"/>
    <w:basedOn w:val="Normal"/>
    <w:uiPriority w:val="34"/>
    <w:qFormat/>
    <w:rsid w:val="00A41F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lasma-gate.weizmann.ac.il/Grac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DD3643-4C39-4739-AA4D-40372BBE9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3150</Words>
  <Characters>17955</Characters>
  <Application>Microsoft Office Word</Application>
  <DocSecurity>0</DocSecurity>
  <Lines>149</Lines>
  <Paragraphs>42</Paragraphs>
  <ScaleCrop>false</ScaleCrop>
  <Company/>
  <LinksUpToDate>false</LinksUpToDate>
  <CharactersWithSpaces>21063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2025-01-29T11:16:00Z</dcterms:created>
  <dcterms:modified xsi:type="dcterms:W3CDTF">2025-10-14T08:58:00Z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6be0ec0c-e727-300c-823a-1287e67807e0</vt:lpwstr>
  </property>
  <property fmtid="{D5CDD505-2E9C-101B-9397-08002B2CF9AE}" pid="24" name="Mendeley Citation Style_1">
    <vt:lpwstr>http://www.zotero.org/styles/vancouver</vt:lpwstr>
  </property>
</Properties>
</file>