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013EB" w14:textId="77777777" w:rsidR="009F639D" w:rsidRDefault="009F639D"/>
    <w:p w14:paraId="521D5F6B" w14:textId="77777777" w:rsidR="00EC64F7" w:rsidRDefault="000E6785" w:rsidP="000E6785">
      <w:r w:rsidRPr="00EC64F7">
        <w:t>Additional file 2</w:t>
      </w:r>
    </w:p>
    <w:p w14:paraId="23E91F2D" w14:textId="45E0BA3F" w:rsidR="000E6785" w:rsidRPr="00EC64F7" w:rsidRDefault="00EC64F7" w:rsidP="000E6785">
      <w:r>
        <w:t xml:space="preserve">Table S2 </w:t>
      </w:r>
      <w:bookmarkStart w:id="0" w:name="_GoBack"/>
      <w:bookmarkEnd w:id="0"/>
      <w:r w:rsidR="00343A78" w:rsidRPr="00EC64F7">
        <w:t>Study eligibility criteria</w:t>
      </w:r>
      <w:r w:rsidR="000E6785" w:rsidRPr="00EC64F7">
        <w:t xml:space="preserve"> </w:t>
      </w:r>
    </w:p>
    <w:p w14:paraId="415DBE1D" w14:textId="77777777" w:rsidR="000E6785" w:rsidRPr="000A72E5" w:rsidRDefault="000E6785" w:rsidP="000E678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6"/>
        <w:gridCol w:w="6690"/>
      </w:tblGrid>
      <w:tr w:rsidR="000E6785" w:rsidRPr="00317AEB" w14:paraId="7904F2A7" w14:textId="77777777" w:rsidTr="00D86B00">
        <w:trPr>
          <w:trHeight w:val="1987"/>
        </w:trPr>
        <w:tc>
          <w:tcPr>
            <w:tcW w:w="2802" w:type="dxa"/>
          </w:tcPr>
          <w:p w14:paraId="4453444A" w14:textId="77777777" w:rsidR="000E6785" w:rsidRPr="003E4C23" w:rsidRDefault="000E6785" w:rsidP="00D86B00">
            <w:pPr>
              <w:spacing w:before="120" w:after="120"/>
              <w:rPr>
                <w:b/>
                <w:color w:val="000000"/>
              </w:rPr>
            </w:pPr>
            <w:r w:rsidRPr="003E4C23">
              <w:rPr>
                <w:b/>
                <w:color w:val="000000"/>
              </w:rPr>
              <w:t>Inclusion Criteria:</w:t>
            </w:r>
          </w:p>
          <w:p w14:paraId="496F97FC" w14:textId="77777777" w:rsidR="000E6785" w:rsidRPr="00317AEB" w:rsidRDefault="000E6785" w:rsidP="00D86B00">
            <w:pPr>
              <w:spacing w:before="120" w:after="120"/>
            </w:pPr>
          </w:p>
          <w:p w14:paraId="592674DD" w14:textId="77777777" w:rsidR="000E6785" w:rsidRPr="003E4C23" w:rsidRDefault="000E6785" w:rsidP="00D86B00">
            <w:pPr>
              <w:spacing w:before="120" w:after="120"/>
              <w:ind w:left="360"/>
              <w:rPr>
                <w:color w:val="000000"/>
              </w:rPr>
            </w:pPr>
          </w:p>
          <w:p w14:paraId="335E25B7" w14:textId="77777777" w:rsidR="000E6785" w:rsidRPr="00317AEB" w:rsidRDefault="000E6785" w:rsidP="00D86B00">
            <w:pPr>
              <w:autoSpaceDE w:val="0"/>
              <w:autoSpaceDN w:val="0"/>
              <w:adjustRightInd w:val="0"/>
              <w:spacing w:before="120" w:after="120"/>
            </w:pPr>
          </w:p>
        </w:tc>
        <w:tc>
          <w:tcPr>
            <w:tcW w:w="9887" w:type="dxa"/>
          </w:tcPr>
          <w:p w14:paraId="3DD9B8BE" w14:textId="77777777" w:rsidR="000E6785" w:rsidRPr="003E4C23" w:rsidRDefault="000E6785" w:rsidP="000E6785">
            <w:pPr>
              <w:numPr>
                <w:ilvl w:val="0"/>
                <w:numId w:val="1"/>
              </w:numPr>
              <w:spacing w:before="120" w:after="120"/>
              <w:ind w:left="318" w:hanging="284"/>
              <w:rPr>
                <w:color w:val="000000"/>
              </w:rPr>
            </w:pPr>
            <w:r w:rsidRPr="003E4C23">
              <w:rPr>
                <w:color w:val="000000"/>
              </w:rPr>
              <w:t>Only prospective randomized trials will be considered</w:t>
            </w:r>
          </w:p>
          <w:p w14:paraId="64913400" w14:textId="77777777" w:rsidR="000E6785" w:rsidRPr="00317AEB" w:rsidRDefault="000E6785" w:rsidP="000E6785">
            <w:pPr>
              <w:numPr>
                <w:ilvl w:val="0"/>
                <w:numId w:val="1"/>
              </w:numPr>
              <w:spacing w:before="120" w:after="120"/>
              <w:ind w:left="318" w:hanging="284"/>
            </w:pPr>
            <w:r w:rsidRPr="00317AEB">
              <w:t>Patients (</w:t>
            </w:r>
            <w:r w:rsidRPr="003E4C23">
              <w:rPr>
                <w:u w:val="single"/>
              </w:rPr>
              <w:t>&gt;</w:t>
            </w:r>
            <w:r w:rsidRPr="00317AEB">
              <w:t>80%) diagnosed with sepsis, severe sepsis, septic shock or disseminated intravascular coagulation (DIC) associated with infection</w:t>
            </w:r>
          </w:p>
          <w:p w14:paraId="3184E22E" w14:textId="77777777" w:rsidR="000E6785" w:rsidRPr="00317AEB" w:rsidRDefault="000E6785" w:rsidP="000E6785">
            <w:pPr>
              <w:numPr>
                <w:ilvl w:val="0"/>
                <w:numId w:val="1"/>
              </w:numPr>
              <w:spacing w:before="120" w:after="120"/>
              <w:ind w:left="318" w:hanging="284"/>
            </w:pPr>
            <w:r>
              <w:t>P</w:t>
            </w:r>
            <w:r w:rsidRPr="00317AEB">
              <w:t xml:space="preserve">lasma exchange, or plasma filtration; regardless of timing, number of treatments, replacement fluid or frequency of administration </w:t>
            </w:r>
          </w:p>
          <w:p w14:paraId="51E5D40E" w14:textId="77777777" w:rsidR="000E6785" w:rsidRPr="003E4C23" w:rsidRDefault="000E6785" w:rsidP="000E6785">
            <w:pPr>
              <w:pStyle w:val="ListParagraph"/>
              <w:numPr>
                <w:ilvl w:val="0"/>
                <w:numId w:val="1"/>
              </w:numPr>
              <w:spacing w:before="120" w:after="120"/>
              <w:ind w:left="318" w:hanging="284"/>
              <w:contextualSpacing/>
              <w:rPr>
                <w:rFonts w:ascii="Times New Roman" w:hAnsi="Times New Roman"/>
              </w:rPr>
            </w:pPr>
            <w:r w:rsidRPr="005D43A9">
              <w:rPr>
                <w:rFonts w:ascii="Times New Roman" w:hAnsi="Times New Roman"/>
                <w:sz w:val="24"/>
              </w:rPr>
              <w:t>Adults and children will be included</w:t>
            </w:r>
          </w:p>
        </w:tc>
      </w:tr>
      <w:tr w:rsidR="000E6785" w:rsidRPr="00317AEB" w14:paraId="45E2371E" w14:textId="77777777" w:rsidTr="00D86B00">
        <w:trPr>
          <w:trHeight w:val="2880"/>
        </w:trPr>
        <w:tc>
          <w:tcPr>
            <w:tcW w:w="2802" w:type="dxa"/>
          </w:tcPr>
          <w:p w14:paraId="4DDDDB24" w14:textId="77777777" w:rsidR="000E6785" w:rsidRPr="003E4C23" w:rsidRDefault="000E6785" w:rsidP="00D86B00">
            <w:pPr>
              <w:spacing w:before="120" w:after="120"/>
              <w:rPr>
                <w:b/>
                <w:color w:val="000000"/>
              </w:rPr>
            </w:pPr>
            <w:r w:rsidRPr="003E4C23">
              <w:rPr>
                <w:b/>
                <w:color w:val="000000"/>
              </w:rPr>
              <w:t>Exclusion Criteria:</w:t>
            </w:r>
          </w:p>
          <w:p w14:paraId="532CD243" w14:textId="77777777" w:rsidR="000E6785" w:rsidRPr="00317AEB" w:rsidRDefault="000E6785" w:rsidP="00D86B00">
            <w:pPr>
              <w:autoSpaceDE w:val="0"/>
              <w:autoSpaceDN w:val="0"/>
              <w:adjustRightInd w:val="0"/>
              <w:spacing w:before="120" w:after="120"/>
            </w:pPr>
          </w:p>
        </w:tc>
        <w:tc>
          <w:tcPr>
            <w:tcW w:w="9887" w:type="dxa"/>
          </w:tcPr>
          <w:p w14:paraId="798B3A8A" w14:textId="77777777" w:rsidR="000E6785" w:rsidRPr="003E4C23" w:rsidRDefault="000E6785" w:rsidP="000E6785">
            <w:pPr>
              <w:numPr>
                <w:ilvl w:val="0"/>
                <w:numId w:val="1"/>
              </w:numPr>
              <w:spacing w:before="120" w:after="120"/>
              <w:ind w:left="318" w:hanging="284"/>
              <w:rPr>
                <w:color w:val="000000"/>
              </w:rPr>
            </w:pPr>
            <w:r w:rsidRPr="003E4C23">
              <w:rPr>
                <w:color w:val="000000"/>
              </w:rPr>
              <w:t>Observational study designs, quasi-randomized, crossover, or cluster-randomized trials will not be considered for this review</w:t>
            </w:r>
          </w:p>
          <w:p w14:paraId="6D51B70B" w14:textId="77777777" w:rsidR="000E6785" w:rsidRPr="003E4C23" w:rsidRDefault="000E6785" w:rsidP="000E6785">
            <w:pPr>
              <w:numPr>
                <w:ilvl w:val="0"/>
                <w:numId w:val="1"/>
              </w:numPr>
              <w:spacing w:before="120" w:after="120"/>
              <w:ind w:left="318" w:hanging="284"/>
              <w:rPr>
                <w:color w:val="000000"/>
              </w:rPr>
            </w:pPr>
            <w:r w:rsidRPr="003E4C23">
              <w:rPr>
                <w:color w:val="000000"/>
              </w:rPr>
              <w:t>Studies involving animals</w:t>
            </w:r>
          </w:p>
          <w:p w14:paraId="72E80506" w14:textId="77777777" w:rsidR="000E6785" w:rsidRPr="003E4C23" w:rsidRDefault="000E6785" w:rsidP="000E6785">
            <w:pPr>
              <w:numPr>
                <w:ilvl w:val="0"/>
                <w:numId w:val="1"/>
              </w:numPr>
              <w:spacing w:before="120" w:after="120"/>
              <w:ind w:left="318" w:hanging="284"/>
              <w:rPr>
                <w:color w:val="000000"/>
              </w:rPr>
            </w:pPr>
            <w:r w:rsidRPr="003E4C23">
              <w:rPr>
                <w:color w:val="000000"/>
              </w:rPr>
              <w:t>Studies with &gt;20% of patients with disseminated intravascular coagulation due to causes other than infection (e.g. cancer-related DIC, obstetrical DIC)</w:t>
            </w:r>
          </w:p>
          <w:p w14:paraId="4A15A3E6" w14:textId="77777777" w:rsidR="000E6785" w:rsidRPr="003E4C23" w:rsidRDefault="000E6785" w:rsidP="000E6785">
            <w:pPr>
              <w:numPr>
                <w:ilvl w:val="0"/>
                <w:numId w:val="1"/>
              </w:numPr>
              <w:spacing w:before="120" w:after="120"/>
              <w:ind w:left="318" w:hanging="284"/>
              <w:rPr>
                <w:color w:val="000000"/>
              </w:rPr>
            </w:pPr>
            <w:r w:rsidRPr="003E4C23">
              <w:rPr>
                <w:color w:val="000000"/>
              </w:rPr>
              <w:t>Studies with no comparator group</w:t>
            </w:r>
          </w:p>
          <w:p w14:paraId="3B3D9DF9" w14:textId="77777777" w:rsidR="000E6785" w:rsidRPr="003E4C23" w:rsidRDefault="000E6785" w:rsidP="000E6785">
            <w:pPr>
              <w:numPr>
                <w:ilvl w:val="0"/>
                <w:numId w:val="1"/>
              </w:numPr>
              <w:spacing w:before="120" w:after="120"/>
              <w:ind w:left="318" w:hanging="284"/>
              <w:rPr>
                <w:color w:val="000000"/>
              </w:rPr>
            </w:pPr>
            <w:r w:rsidRPr="003E4C23">
              <w:rPr>
                <w:color w:val="000000"/>
              </w:rPr>
              <w:t>Studies examining renal replacement therapy (including conventional dialysis, continuous renal replacement therapy, continuous veno-venous hemofiltration, or high-volume hemofiltration)</w:t>
            </w:r>
            <w:r w:rsidRPr="003E4C23">
              <w:rPr>
                <w:szCs w:val="32"/>
              </w:rPr>
              <w:t xml:space="preserve"> </w:t>
            </w:r>
          </w:p>
        </w:tc>
      </w:tr>
    </w:tbl>
    <w:p w14:paraId="126955B0" w14:textId="77777777" w:rsidR="000E6785" w:rsidRDefault="000E6785" w:rsidP="000E6785"/>
    <w:p w14:paraId="6E0907F8" w14:textId="77777777" w:rsidR="000E6785" w:rsidRPr="000A72E5" w:rsidRDefault="000E6785" w:rsidP="000E6785"/>
    <w:p w14:paraId="6B83966C" w14:textId="77777777" w:rsidR="000E6785" w:rsidRPr="000A72E5" w:rsidRDefault="000E6785" w:rsidP="000E6785"/>
    <w:p w14:paraId="322EABA4" w14:textId="77777777" w:rsidR="000E6785" w:rsidRPr="000A72E5" w:rsidRDefault="000E6785" w:rsidP="000E6785">
      <w:r w:rsidRPr="000A72E5">
        <w:t xml:space="preserve"> </w:t>
      </w:r>
    </w:p>
    <w:p w14:paraId="437B768A" w14:textId="77777777" w:rsidR="000E6785" w:rsidRPr="000A72E5" w:rsidRDefault="000E6785" w:rsidP="000E6785"/>
    <w:p w14:paraId="727F5C4E" w14:textId="77777777" w:rsidR="000E6785" w:rsidRPr="000A72E5" w:rsidRDefault="000E6785" w:rsidP="000E6785">
      <w:r w:rsidRPr="000A72E5">
        <w:t xml:space="preserve"> </w:t>
      </w:r>
    </w:p>
    <w:p w14:paraId="1B0503D1" w14:textId="77777777" w:rsidR="000E6785" w:rsidRPr="000A72E5" w:rsidRDefault="000E6785" w:rsidP="000E6785"/>
    <w:p w14:paraId="2A70168F" w14:textId="77777777" w:rsidR="000E6785" w:rsidRPr="000A72E5" w:rsidRDefault="000E6785" w:rsidP="000E6785">
      <w:r w:rsidRPr="000A72E5">
        <w:t xml:space="preserve"> </w:t>
      </w:r>
    </w:p>
    <w:p w14:paraId="291E372E" w14:textId="77777777" w:rsidR="000E6785" w:rsidRPr="000A72E5" w:rsidRDefault="000E6785" w:rsidP="000E6785"/>
    <w:p w14:paraId="0737A147" w14:textId="77777777" w:rsidR="000E6785" w:rsidRDefault="000E6785"/>
    <w:sectPr w:rsidR="000E6785" w:rsidSect="00D064F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A3A05"/>
    <w:multiLevelType w:val="hybridMultilevel"/>
    <w:tmpl w:val="D23C08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1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785"/>
    <w:rsid w:val="000E6785"/>
    <w:rsid w:val="00343A78"/>
    <w:rsid w:val="009F639D"/>
    <w:rsid w:val="00D064F0"/>
    <w:rsid w:val="00E52650"/>
    <w:rsid w:val="00EC64F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4A751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785"/>
    <w:pPr>
      <w:spacing w:after="0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E6785"/>
    <w:pPr>
      <w:ind w:left="720"/>
    </w:pPr>
    <w:rPr>
      <w:rFonts w:ascii="Calibri" w:eastAsia="Times New Roman" w:hAnsi="Calibri"/>
      <w:sz w:val="22"/>
      <w:szCs w:val="22"/>
      <w:lang w:val="en-CA" w:eastAsia="en-C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6785"/>
    <w:pPr>
      <w:spacing w:after="0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E6785"/>
    <w:pPr>
      <w:ind w:left="720"/>
    </w:pPr>
    <w:rPr>
      <w:rFonts w:ascii="Calibri" w:eastAsia="Times New Roman" w:hAnsi="Calibri"/>
      <w:sz w:val="22"/>
      <w:szCs w:val="22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Macintosh Word</Application>
  <DocSecurity>0</DocSecurity>
  <Lines>7</Lines>
  <Paragraphs>2</Paragraphs>
  <ScaleCrop>false</ScaleCrop>
  <Company>University of Manitoba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Rimmer</dc:creator>
  <cp:keywords/>
  <dc:description/>
  <cp:lastModifiedBy>Emily Rimmer</cp:lastModifiedBy>
  <cp:revision>4</cp:revision>
  <dcterms:created xsi:type="dcterms:W3CDTF">2014-09-18T19:49:00Z</dcterms:created>
  <dcterms:modified xsi:type="dcterms:W3CDTF">2014-09-18T20:22:00Z</dcterms:modified>
</cp:coreProperties>
</file>