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C57" w:rsidRDefault="004C1E6B" w:rsidP="004C1E6B">
      <w:pPr>
        <w:jc w:val="center"/>
        <w:rPr>
          <w:b/>
          <w:color w:val="000000" w:themeColor="text1"/>
          <w:sz w:val="32"/>
        </w:rPr>
      </w:pPr>
      <w:r w:rsidRPr="004C1E6B">
        <w:rPr>
          <w:b/>
          <w:color w:val="000000" w:themeColor="text1"/>
          <w:sz w:val="32"/>
        </w:rPr>
        <w:t>Propensity Matching Details</w:t>
      </w:r>
    </w:p>
    <w:p w:rsidR="004C1E6B" w:rsidRDefault="004C1E6B" w:rsidP="004C1E6B">
      <w:pPr>
        <w:jc w:val="center"/>
        <w:rPr>
          <w:b/>
          <w:color w:val="000000" w:themeColor="text1"/>
          <w:sz w:val="32"/>
        </w:rPr>
      </w:pPr>
    </w:p>
    <w:p w:rsidR="004C1E6B" w:rsidRDefault="004C1E6B" w:rsidP="004C1E6B">
      <w:pPr>
        <w:spacing w:line="480" w:lineRule="auto"/>
        <w:rPr>
          <w:b/>
          <w:color w:val="000000" w:themeColor="text1"/>
        </w:rPr>
      </w:pPr>
      <w:r w:rsidRPr="00E76AFC">
        <w:rPr>
          <w:color w:val="000000" w:themeColor="text1"/>
        </w:rPr>
        <w:t>Following completion of enrollment each study patient was matched to a non-closed-loop assisted case performed during the same time period using a propensity score match to reduce bias</w:t>
      </w:r>
      <w:r>
        <w:rPr>
          <w:color w:val="000000" w:themeColor="text1"/>
        </w:rPr>
        <w:t>.  The figure below depicts the recruitment and case matching process.  Details of the propensity match are provided in this electronic supplement.</w:t>
      </w:r>
    </w:p>
    <w:p w:rsidR="00830C57" w:rsidRDefault="00830C57" w:rsidP="004C1E6B">
      <w:pPr>
        <w:ind w:left="-720"/>
        <w:jc w:val="center"/>
        <w:rPr>
          <w:b/>
          <w:color w:val="000000" w:themeColor="text1"/>
        </w:rPr>
      </w:pPr>
      <w:r>
        <w:rPr>
          <w:b/>
          <w:noProof/>
          <w:color w:val="000000" w:themeColor="text1"/>
          <w:lang w:eastAsia="en-US"/>
        </w:rPr>
        <w:drawing>
          <wp:inline distT="0" distB="0" distL="0" distR="0">
            <wp:extent cx="5118265" cy="5878623"/>
            <wp:effectExtent l="0" t="0" r="6350" b="8255"/>
            <wp:docPr id="1" name="Picture 1" descr="C:\Users\LIR\Dropbox\UCI Shared Research (1)\UCI Closed Loop\Manuscript\Fig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R\Dropbox\UCI Shared Research (1)\UCI Closed Loop\Manuscript\Figure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20508" cy="5881199"/>
                    </a:xfrm>
                    <a:prstGeom prst="rect">
                      <a:avLst/>
                    </a:prstGeom>
                    <a:noFill/>
                    <a:ln>
                      <a:noFill/>
                    </a:ln>
                  </pic:spPr>
                </pic:pic>
              </a:graphicData>
            </a:graphic>
          </wp:inline>
        </w:drawing>
      </w:r>
    </w:p>
    <w:p w:rsidR="00830C57" w:rsidRPr="004C1E6B" w:rsidRDefault="004C1E6B">
      <w:pPr>
        <w:rPr>
          <w:color w:val="000000" w:themeColor="text1"/>
        </w:rPr>
      </w:pPr>
      <w:r>
        <w:rPr>
          <w:color w:val="000000" w:themeColor="text1"/>
        </w:rPr>
        <w:t>Figure 1: Recruitment flowchart</w:t>
      </w:r>
    </w:p>
    <w:p w:rsidR="00830C57" w:rsidRDefault="00830C57">
      <w:pPr>
        <w:rPr>
          <w:b/>
          <w:color w:val="000000" w:themeColor="text1"/>
        </w:rPr>
      </w:pPr>
    </w:p>
    <w:p w:rsidR="0095338F" w:rsidRPr="004C1E6B" w:rsidRDefault="0095338F" w:rsidP="004C1E6B">
      <w:pPr>
        <w:spacing w:line="480" w:lineRule="auto"/>
        <w:rPr>
          <w:b/>
          <w:color w:val="000000" w:themeColor="text1"/>
        </w:rPr>
      </w:pPr>
      <w:r w:rsidRPr="004C1E6B">
        <w:rPr>
          <w:b/>
          <w:color w:val="000000" w:themeColor="text1"/>
        </w:rPr>
        <w:t>Parameter Selection</w:t>
      </w:r>
    </w:p>
    <w:p w:rsidR="004C1E6B" w:rsidRDefault="004C1E6B" w:rsidP="004C1E6B">
      <w:pPr>
        <w:spacing w:line="480" w:lineRule="auto"/>
        <w:rPr>
          <w:color w:val="000000" w:themeColor="text1"/>
        </w:rPr>
      </w:pPr>
    </w:p>
    <w:p w:rsidR="0095338F" w:rsidRDefault="0095338F" w:rsidP="004C1E6B">
      <w:pPr>
        <w:spacing w:line="480" w:lineRule="auto"/>
        <w:rPr>
          <w:color w:val="000000" w:themeColor="text1"/>
        </w:rPr>
      </w:pPr>
      <w:r>
        <w:rPr>
          <w:color w:val="000000" w:themeColor="text1"/>
        </w:rPr>
        <w:lastRenderedPageBreak/>
        <w:t xml:space="preserve">The parameters chosen for inclusion in the case match process are generally selected based on their high likelihood of having an influence on the study outcome of interest.  For this study, the outcomes of interest were hemodynamic and outcome related.  As such, the most important pre-surgical parameters to include in the match would be baseline hemodynamic values and the type of surgery the patient was having.  </w:t>
      </w:r>
      <w:r w:rsidR="006B6455">
        <w:rPr>
          <w:color w:val="000000" w:themeColor="text1"/>
        </w:rPr>
        <w:t xml:space="preserve">Baseline heart rate and mean arterial pressure were taken from the preoperative anesthesia module from the vital signs collected in </w:t>
      </w:r>
      <w:proofErr w:type="spellStart"/>
      <w:r w:rsidR="006B6455">
        <w:rPr>
          <w:color w:val="000000" w:themeColor="text1"/>
        </w:rPr>
        <w:t>preop</w:t>
      </w:r>
      <w:proofErr w:type="spellEnd"/>
      <w:r w:rsidR="006B6455">
        <w:rPr>
          <w:color w:val="000000" w:themeColor="text1"/>
        </w:rPr>
        <w:t xml:space="preserve"> holding before entering the OR.  </w:t>
      </w:r>
      <w:r w:rsidR="006B6455" w:rsidRPr="00E76AFC">
        <w:rPr>
          <w:color w:val="000000" w:themeColor="text1"/>
        </w:rPr>
        <w:t>Baseline value for SVI and CI were taken as the mean of the first minute’s recording 5 minutes after placement of the ar</w:t>
      </w:r>
      <w:r w:rsidR="006B6455">
        <w:rPr>
          <w:color w:val="000000" w:themeColor="text1"/>
        </w:rPr>
        <w:t>terial line and initiation of the hemodynamic monitoring system (</w:t>
      </w:r>
      <w:proofErr w:type="spellStart"/>
      <w:r w:rsidR="006B6455">
        <w:rPr>
          <w:color w:val="000000" w:themeColor="text1"/>
        </w:rPr>
        <w:t>FloTrac</w:t>
      </w:r>
      <w:proofErr w:type="spellEnd"/>
      <w:r w:rsidR="006B6455">
        <w:rPr>
          <w:color w:val="000000" w:themeColor="text1"/>
        </w:rPr>
        <w:t xml:space="preserve">, Edwards Lifesciences, Irvine CA). </w:t>
      </w:r>
    </w:p>
    <w:p w:rsidR="006B6455" w:rsidRDefault="006B6455" w:rsidP="004C1E6B">
      <w:pPr>
        <w:spacing w:line="480" w:lineRule="auto"/>
        <w:rPr>
          <w:color w:val="000000" w:themeColor="text1"/>
        </w:rPr>
      </w:pPr>
    </w:p>
    <w:p w:rsidR="006B6455" w:rsidRDefault="006B6455" w:rsidP="004C1E6B">
      <w:pPr>
        <w:spacing w:line="480" w:lineRule="auto"/>
        <w:rPr>
          <w:color w:val="000000" w:themeColor="text1"/>
        </w:rPr>
      </w:pPr>
      <w:r>
        <w:rPr>
          <w:color w:val="000000" w:themeColor="text1"/>
        </w:rPr>
        <w:t xml:space="preserve">In addition to baseline hemodynamics and case type, several other factors were included.  Specific surgeon was included as the two surgeons who did the cases in this study had different average case times and surgical techniques, so this may have been an independent predictor.  Patient specific factors that may have been independent predictors were also included: height, weight, gender, and age.  </w:t>
      </w:r>
    </w:p>
    <w:p w:rsidR="006B6455" w:rsidRDefault="006B6455" w:rsidP="004C1E6B">
      <w:pPr>
        <w:spacing w:line="480" w:lineRule="auto"/>
        <w:rPr>
          <w:color w:val="000000" w:themeColor="text1"/>
        </w:rPr>
      </w:pPr>
    </w:p>
    <w:p w:rsidR="006B6455" w:rsidRDefault="006B6455" w:rsidP="004C1E6B">
      <w:pPr>
        <w:spacing w:line="480" w:lineRule="auto"/>
        <w:rPr>
          <w:color w:val="000000" w:themeColor="text1"/>
        </w:rPr>
      </w:pPr>
      <w:r>
        <w:rPr>
          <w:color w:val="000000" w:themeColor="text1"/>
        </w:rPr>
        <w:t xml:space="preserve">Finally, American Society of Anesthesiologists patient score is a recognized independent risk predictor for overall patient health, so this was also included in the match. Patient disease states that would have directly contributed to outcome differences in the primary variables of interest like cardiovascular or pulmonary disease were rare or mild when present because of the exclusion criteria of the study, for this reason adding match criteria for specific organ system diseases was not deemed necessary in addition to the composite ASA score.  </w:t>
      </w:r>
    </w:p>
    <w:p w:rsidR="00A5751A" w:rsidRDefault="00A5751A">
      <w:pPr>
        <w:rPr>
          <w:color w:val="000000" w:themeColor="text1"/>
        </w:rPr>
      </w:pPr>
    </w:p>
    <w:p w:rsidR="004C1E6B" w:rsidRDefault="004C1E6B">
      <w:pPr>
        <w:rPr>
          <w:color w:val="000000" w:themeColor="text1"/>
        </w:rPr>
      </w:pPr>
    </w:p>
    <w:p w:rsidR="004C1E6B" w:rsidRDefault="004C1E6B">
      <w:pPr>
        <w:rPr>
          <w:color w:val="000000" w:themeColor="text1"/>
        </w:rPr>
      </w:pPr>
    </w:p>
    <w:p w:rsidR="00A5751A" w:rsidRDefault="00A5751A">
      <w:pPr>
        <w:rPr>
          <w:b/>
          <w:color w:val="000000" w:themeColor="text1"/>
        </w:rPr>
      </w:pPr>
    </w:p>
    <w:p w:rsidR="00A5751A" w:rsidRDefault="00A5751A" w:rsidP="00753653">
      <w:pPr>
        <w:spacing w:line="480" w:lineRule="auto"/>
        <w:jc w:val="center"/>
        <w:rPr>
          <w:b/>
          <w:color w:val="000000" w:themeColor="text1"/>
          <w:sz w:val="32"/>
        </w:rPr>
      </w:pPr>
      <w:r w:rsidRPr="00753653">
        <w:rPr>
          <w:b/>
          <w:color w:val="000000" w:themeColor="text1"/>
          <w:sz w:val="32"/>
        </w:rPr>
        <w:t>Table 1 – Demographics and Baseline Hemodynamic Data After Propensity Match</w:t>
      </w:r>
    </w:p>
    <w:p w:rsidR="00753653" w:rsidRPr="00E76AFC" w:rsidRDefault="00753653" w:rsidP="00753653">
      <w:pPr>
        <w:spacing w:line="480" w:lineRule="auto"/>
        <w:jc w:val="center"/>
        <w:rPr>
          <w:b/>
          <w:color w:val="000000" w:themeColor="text1"/>
        </w:rPr>
      </w:pPr>
    </w:p>
    <w:tbl>
      <w:tblPr>
        <w:tblW w:w="8565" w:type="dxa"/>
        <w:tblInd w:w="93" w:type="dxa"/>
        <w:tblLook w:val="04A0" w:firstRow="1" w:lastRow="0" w:firstColumn="1" w:lastColumn="0" w:noHBand="0" w:noVBand="1"/>
      </w:tblPr>
      <w:tblGrid>
        <w:gridCol w:w="266"/>
        <w:gridCol w:w="3696"/>
        <w:gridCol w:w="1340"/>
        <w:gridCol w:w="1520"/>
        <w:gridCol w:w="1743"/>
      </w:tblGrid>
      <w:tr w:rsidR="00A5751A" w:rsidRPr="00E76AFC" w:rsidTr="00E625A8">
        <w:trPr>
          <w:trHeight w:val="900"/>
        </w:trPr>
        <w:tc>
          <w:tcPr>
            <w:tcW w:w="3962" w:type="dxa"/>
            <w:gridSpan w:val="2"/>
            <w:tcBorders>
              <w:top w:val="nil"/>
              <w:left w:val="nil"/>
              <w:bottom w:val="single" w:sz="4" w:space="0" w:color="auto"/>
              <w:right w:val="nil"/>
            </w:tcBorders>
            <w:shd w:val="clear" w:color="auto" w:fill="auto"/>
            <w:noWrap/>
            <w:vAlign w:val="bottom"/>
            <w:hideMark/>
          </w:tcPr>
          <w:p w:rsidR="00A5751A" w:rsidRPr="00E76AFC" w:rsidRDefault="00A5751A" w:rsidP="00E625A8">
            <w:pPr>
              <w:rPr>
                <w:rFonts w:ascii="Calibri" w:eastAsia="Times New Roman" w:hAnsi="Calibri" w:cs="Calibri"/>
                <w:b/>
                <w:color w:val="000000" w:themeColor="text1"/>
                <w:sz w:val="22"/>
                <w:szCs w:val="22"/>
                <w:lang w:eastAsia="en-US"/>
              </w:rPr>
            </w:pPr>
            <w:r w:rsidRPr="00E76AFC">
              <w:rPr>
                <w:rFonts w:ascii="Calibri" w:eastAsia="Times New Roman" w:hAnsi="Calibri" w:cs="Calibri"/>
                <w:b/>
                <w:color w:val="000000" w:themeColor="text1"/>
                <w:sz w:val="22"/>
                <w:szCs w:val="22"/>
                <w:lang w:eastAsia="en-US"/>
              </w:rPr>
              <w:t> Parameter</w:t>
            </w:r>
          </w:p>
        </w:tc>
        <w:tc>
          <w:tcPr>
            <w:tcW w:w="1340" w:type="dxa"/>
            <w:tcBorders>
              <w:top w:val="nil"/>
              <w:left w:val="nil"/>
              <w:bottom w:val="single" w:sz="4" w:space="0" w:color="auto"/>
              <w:right w:val="nil"/>
            </w:tcBorders>
            <w:shd w:val="clear" w:color="auto" w:fill="auto"/>
            <w:noWrap/>
            <w:vAlign w:val="bottom"/>
            <w:hideMark/>
          </w:tcPr>
          <w:p w:rsidR="00A5751A" w:rsidRPr="00E76AFC" w:rsidRDefault="00A5751A" w:rsidP="00E625A8">
            <w:pPr>
              <w:jc w:val="center"/>
              <w:rPr>
                <w:rFonts w:ascii="Calibri" w:eastAsia="Times New Roman" w:hAnsi="Calibri" w:cs="Calibri"/>
                <w:b/>
                <w:bCs/>
                <w:color w:val="000000" w:themeColor="text1"/>
                <w:sz w:val="22"/>
                <w:szCs w:val="22"/>
                <w:lang w:eastAsia="en-US"/>
              </w:rPr>
            </w:pPr>
            <w:r w:rsidRPr="00E76AFC">
              <w:rPr>
                <w:rFonts w:ascii="Calibri" w:eastAsia="Times New Roman" w:hAnsi="Calibri" w:cs="Calibri"/>
                <w:b/>
                <w:bCs/>
                <w:color w:val="000000" w:themeColor="text1"/>
                <w:sz w:val="22"/>
                <w:szCs w:val="22"/>
                <w:lang w:eastAsia="en-US"/>
              </w:rPr>
              <w:t>Manual</w:t>
            </w:r>
          </w:p>
        </w:tc>
        <w:tc>
          <w:tcPr>
            <w:tcW w:w="1520" w:type="dxa"/>
            <w:tcBorders>
              <w:top w:val="nil"/>
              <w:left w:val="nil"/>
              <w:bottom w:val="single" w:sz="4" w:space="0" w:color="auto"/>
              <w:right w:val="nil"/>
            </w:tcBorders>
            <w:shd w:val="clear" w:color="auto" w:fill="auto"/>
            <w:vAlign w:val="bottom"/>
            <w:hideMark/>
          </w:tcPr>
          <w:p w:rsidR="00A5751A" w:rsidRPr="00E76AFC" w:rsidRDefault="00A5751A" w:rsidP="00E625A8">
            <w:pPr>
              <w:jc w:val="center"/>
              <w:rPr>
                <w:rFonts w:ascii="Calibri" w:eastAsia="Times New Roman" w:hAnsi="Calibri" w:cs="Calibri"/>
                <w:b/>
                <w:bCs/>
                <w:color w:val="000000" w:themeColor="text1"/>
                <w:sz w:val="22"/>
                <w:szCs w:val="22"/>
                <w:lang w:eastAsia="en-US"/>
              </w:rPr>
            </w:pPr>
            <w:r w:rsidRPr="00E76AFC">
              <w:rPr>
                <w:rFonts w:ascii="Calibri" w:eastAsia="Times New Roman" w:hAnsi="Calibri" w:cs="Calibri"/>
                <w:b/>
                <w:bCs/>
                <w:color w:val="000000" w:themeColor="text1"/>
                <w:sz w:val="22"/>
                <w:szCs w:val="22"/>
                <w:lang w:eastAsia="en-US"/>
              </w:rPr>
              <w:t>Closed-Loop Assisted</w:t>
            </w:r>
          </w:p>
        </w:tc>
        <w:tc>
          <w:tcPr>
            <w:tcW w:w="1743" w:type="dxa"/>
            <w:tcBorders>
              <w:top w:val="nil"/>
              <w:left w:val="nil"/>
              <w:bottom w:val="single" w:sz="4" w:space="0" w:color="auto"/>
              <w:right w:val="nil"/>
            </w:tcBorders>
            <w:shd w:val="clear" w:color="auto" w:fill="auto"/>
            <w:vAlign w:val="bottom"/>
            <w:hideMark/>
          </w:tcPr>
          <w:p w:rsidR="00A5751A" w:rsidRPr="00E76AFC" w:rsidRDefault="00A5751A" w:rsidP="00E625A8">
            <w:pPr>
              <w:jc w:val="center"/>
              <w:rPr>
                <w:rFonts w:ascii="Calibri" w:eastAsia="Times New Roman" w:hAnsi="Calibri" w:cs="Calibri"/>
                <w:b/>
                <w:bCs/>
                <w:color w:val="000000" w:themeColor="text1"/>
                <w:sz w:val="22"/>
                <w:szCs w:val="22"/>
                <w:lang w:eastAsia="en-US"/>
              </w:rPr>
            </w:pPr>
            <w:r w:rsidRPr="00E76AFC">
              <w:rPr>
                <w:rFonts w:ascii="Calibri" w:eastAsia="Times New Roman" w:hAnsi="Calibri" w:cs="Calibri"/>
                <w:b/>
                <w:bCs/>
                <w:color w:val="000000" w:themeColor="text1"/>
                <w:sz w:val="22"/>
                <w:szCs w:val="22"/>
                <w:lang w:eastAsia="en-US"/>
              </w:rPr>
              <w:t>Absolute Standardized Difference (%)*</w:t>
            </w:r>
          </w:p>
        </w:tc>
      </w:tr>
      <w:tr w:rsidR="00A5751A" w:rsidRPr="00E76AFC" w:rsidTr="00E625A8">
        <w:trPr>
          <w:trHeight w:val="300"/>
        </w:trPr>
        <w:tc>
          <w:tcPr>
            <w:tcW w:w="3962" w:type="dxa"/>
            <w:gridSpan w:val="2"/>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Age (y)</w:t>
            </w:r>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61.5 ± 11.4</w:t>
            </w: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61.6 ± 12.8</w:t>
            </w: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1.3</w:t>
            </w:r>
          </w:p>
        </w:tc>
      </w:tr>
      <w:tr w:rsidR="00A5751A" w:rsidRPr="00E76AFC" w:rsidTr="00E625A8">
        <w:trPr>
          <w:trHeight w:val="300"/>
        </w:trPr>
        <w:tc>
          <w:tcPr>
            <w:tcW w:w="3962" w:type="dxa"/>
            <w:gridSpan w:val="2"/>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Height (cm)</w:t>
            </w:r>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166 ± 10</w:t>
            </w: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166 ± 12</w:t>
            </w: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3.5</w:t>
            </w:r>
          </w:p>
        </w:tc>
      </w:tr>
      <w:tr w:rsidR="00A5751A" w:rsidRPr="00E76AFC" w:rsidTr="00E625A8">
        <w:trPr>
          <w:trHeight w:val="300"/>
        </w:trPr>
        <w:tc>
          <w:tcPr>
            <w:tcW w:w="3962" w:type="dxa"/>
            <w:gridSpan w:val="2"/>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Weight (kg)</w:t>
            </w:r>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73.9 ± 17.5</w:t>
            </w: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73.9 ± 23.7</w:t>
            </w: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0.2</w:t>
            </w:r>
          </w:p>
        </w:tc>
      </w:tr>
      <w:tr w:rsidR="00A5751A" w:rsidRPr="00E76AFC" w:rsidTr="00E625A8">
        <w:trPr>
          <w:trHeight w:val="300"/>
        </w:trPr>
        <w:tc>
          <w:tcPr>
            <w:tcW w:w="26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369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r>
      <w:tr w:rsidR="00A5751A" w:rsidRPr="00E76AFC" w:rsidTr="00E625A8">
        <w:trPr>
          <w:trHeight w:val="300"/>
        </w:trPr>
        <w:tc>
          <w:tcPr>
            <w:tcW w:w="3962" w:type="dxa"/>
            <w:gridSpan w:val="2"/>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b/>
                <w:bCs/>
                <w:color w:val="000000" w:themeColor="text1"/>
                <w:sz w:val="22"/>
                <w:szCs w:val="22"/>
                <w:lang w:eastAsia="en-US"/>
              </w:rPr>
            </w:pPr>
            <w:r w:rsidRPr="00E76AFC">
              <w:rPr>
                <w:rFonts w:ascii="Calibri" w:eastAsia="Times New Roman" w:hAnsi="Calibri" w:cs="Calibri"/>
                <w:b/>
                <w:bCs/>
                <w:color w:val="000000" w:themeColor="text1"/>
                <w:sz w:val="22"/>
                <w:szCs w:val="22"/>
                <w:lang w:eastAsia="en-US"/>
              </w:rPr>
              <w:t>Gender</w:t>
            </w:r>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r>
      <w:tr w:rsidR="00A5751A" w:rsidRPr="00E76AFC" w:rsidTr="00E625A8">
        <w:trPr>
          <w:trHeight w:val="300"/>
        </w:trPr>
        <w:tc>
          <w:tcPr>
            <w:tcW w:w="26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369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Male</w:t>
            </w:r>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11</w:t>
            </w: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11</w:t>
            </w: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0.0</w:t>
            </w:r>
          </w:p>
        </w:tc>
      </w:tr>
      <w:tr w:rsidR="00A5751A" w:rsidRPr="00E76AFC" w:rsidTr="00E625A8">
        <w:trPr>
          <w:trHeight w:val="300"/>
        </w:trPr>
        <w:tc>
          <w:tcPr>
            <w:tcW w:w="26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369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Female</w:t>
            </w:r>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14</w:t>
            </w: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14</w:t>
            </w: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r>
      <w:tr w:rsidR="00A5751A" w:rsidRPr="00E76AFC" w:rsidTr="00E625A8">
        <w:trPr>
          <w:trHeight w:val="300"/>
        </w:trPr>
        <w:tc>
          <w:tcPr>
            <w:tcW w:w="3962" w:type="dxa"/>
            <w:gridSpan w:val="2"/>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b/>
                <w:bCs/>
                <w:color w:val="000000" w:themeColor="text1"/>
                <w:sz w:val="22"/>
                <w:szCs w:val="22"/>
                <w:lang w:eastAsia="en-US"/>
              </w:rPr>
            </w:pPr>
            <w:r w:rsidRPr="00E76AFC">
              <w:rPr>
                <w:rFonts w:ascii="Calibri" w:eastAsia="Times New Roman" w:hAnsi="Calibri" w:cs="Calibri"/>
                <w:b/>
                <w:bCs/>
                <w:color w:val="000000" w:themeColor="text1"/>
                <w:sz w:val="22"/>
                <w:szCs w:val="22"/>
                <w:lang w:eastAsia="en-US"/>
              </w:rPr>
              <w:t>Specific Procedure</w:t>
            </w:r>
          </w:p>
        </w:tc>
        <w:tc>
          <w:tcPr>
            <w:tcW w:w="1340"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1520"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r>
      <w:tr w:rsidR="00A5751A" w:rsidRPr="00E76AFC" w:rsidTr="00E625A8">
        <w:trPr>
          <w:trHeight w:val="300"/>
        </w:trPr>
        <w:tc>
          <w:tcPr>
            <w:tcW w:w="26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369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Whipple</w:t>
            </w:r>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6</w:t>
            </w: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6</w:t>
            </w: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0.0</w:t>
            </w:r>
          </w:p>
        </w:tc>
      </w:tr>
      <w:tr w:rsidR="00A5751A" w:rsidRPr="00E76AFC" w:rsidTr="00E625A8">
        <w:trPr>
          <w:trHeight w:val="300"/>
        </w:trPr>
        <w:tc>
          <w:tcPr>
            <w:tcW w:w="26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369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Whipple + additional</w:t>
            </w:r>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6</w:t>
            </w: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6</w:t>
            </w: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r>
      <w:tr w:rsidR="00A5751A" w:rsidRPr="00E76AFC" w:rsidTr="00E625A8">
        <w:trPr>
          <w:trHeight w:val="300"/>
        </w:trPr>
        <w:tc>
          <w:tcPr>
            <w:tcW w:w="26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369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Distal pancreatectomy</w:t>
            </w:r>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3</w:t>
            </w: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3</w:t>
            </w: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r>
      <w:tr w:rsidR="00A5751A" w:rsidRPr="00E76AFC" w:rsidTr="00E625A8">
        <w:trPr>
          <w:trHeight w:val="300"/>
        </w:trPr>
        <w:tc>
          <w:tcPr>
            <w:tcW w:w="26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369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Liver resection</w:t>
            </w:r>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8</w:t>
            </w: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8</w:t>
            </w: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r>
      <w:tr w:rsidR="00A5751A" w:rsidRPr="00E76AFC" w:rsidTr="00E625A8">
        <w:trPr>
          <w:trHeight w:val="300"/>
        </w:trPr>
        <w:tc>
          <w:tcPr>
            <w:tcW w:w="26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369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 xml:space="preserve">Complex </w:t>
            </w:r>
            <w:proofErr w:type="spellStart"/>
            <w:r w:rsidRPr="00E76AFC">
              <w:rPr>
                <w:rFonts w:ascii="Calibri" w:eastAsia="Times New Roman" w:hAnsi="Calibri" w:cs="Calibri"/>
                <w:color w:val="000000" w:themeColor="text1"/>
                <w:sz w:val="22"/>
                <w:szCs w:val="22"/>
                <w:lang w:eastAsia="en-US"/>
              </w:rPr>
              <w:t>cholecystecomy</w:t>
            </w:r>
            <w:proofErr w:type="spellEnd"/>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2</w:t>
            </w: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2</w:t>
            </w: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r>
      <w:tr w:rsidR="00A5751A" w:rsidRPr="00E76AFC" w:rsidTr="00E625A8">
        <w:trPr>
          <w:trHeight w:val="300"/>
        </w:trPr>
        <w:tc>
          <w:tcPr>
            <w:tcW w:w="3962" w:type="dxa"/>
            <w:gridSpan w:val="2"/>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b/>
                <w:bCs/>
                <w:color w:val="000000" w:themeColor="text1"/>
                <w:sz w:val="22"/>
                <w:szCs w:val="22"/>
                <w:lang w:eastAsia="en-US"/>
              </w:rPr>
            </w:pPr>
            <w:r w:rsidRPr="00E76AFC">
              <w:rPr>
                <w:rFonts w:ascii="Calibri" w:eastAsia="Times New Roman" w:hAnsi="Calibri" w:cs="Calibri"/>
                <w:b/>
                <w:bCs/>
                <w:color w:val="000000" w:themeColor="text1"/>
                <w:sz w:val="22"/>
                <w:szCs w:val="22"/>
                <w:lang w:eastAsia="en-US"/>
              </w:rPr>
              <w:t>ASA Patient Classification</w:t>
            </w:r>
          </w:p>
        </w:tc>
        <w:tc>
          <w:tcPr>
            <w:tcW w:w="1340"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1520"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r>
      <w:tr w:rsidR="00A5751A" w:rsidRPr="00E76AFC" w:rsidTr="00E625A8">
        <w:trPr>
          <w:trHeight w:val="300"/>
        </w:trPr>
        <w:tc>
          <w:tcPr>
            <w:tcW w:w="26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369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2</w:t>
            </w:r>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1</w:t>
            </w: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1</w:t>
            </w: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0.0</w:t>
            </w:r>
          </w:p>
        </w:tc>
      </w:tr>
      <w:tr w:rsidR="00A5751A" w:rsidRPr="00E76AFC" w:rsidTr="00E625A8">
        <w:trPr>
          <w:trHeight w:val="300"/>
        </w:trPr>
        <w:tc>
          <w:tcPr>
            <w:tcW w:w="26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369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3</w:t>
            </w:r>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21</w:t>
            </w: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21</w:t>
            </w: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r>
      <w:tr w:rsidR="00A5751A" w:rsidRPr="00E76AFC" w:rsidTr="00E625A8">
        <w:trPr>
          <w:trHeight w:val="300"/>
        </w:trPr>
        <w:tc>
          <w:tcPr>
            <w:tcW w:w="26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369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4</w:t>
            </w:r>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3</w:t>
            </w: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3</w:t>
            </w: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r>
      <w:tr w:rsidR="00A5751A" w:rsidRPr="00E76AFC" w:rsidTr="00E625A8">
        <w:trPr>
          <w:trHeight w:val="300"/>
        </w:trPr>
        <w:tc>
          <w:tcPr>
            <w:tcW w:w="26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369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r>
      <w:tr w:rsidR="00A5751A" w:rsidRPr="00E76AFC" w:rsidTr="00E625A8">
        <w:trPr>
          <w:trHeight w:val="300"/>
        </w:trPr>
        <w:tc>
          <w:tcPr>
            <w:tcW w:w="3962" w:type="dxa"/>
            <w:gridSpan w:val="2"/>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b/>
                <w:bCs/>
                <w:color w:val="000000" w:themeColor="text1"/>
                <w:sz w:val="22"/>
                <w:szCs w:val="22"/>
                <w:lang w:eastAsia="en-US"/>
              </w:rPr>
            </w:pPr>
            <w:r w:rsidRPr="00E76AFC">
              <w:rPr>
                <w:rFonts w:ascii="Calibri" w:eastAsia="Times New Roman" w:hAnsi="Calibri" w:cs="Calibri"/>
                <w:b/>
                <w:bCs/>
                <w:color w:val="000000" w:themeColor="text1"/>
                <w:sz w:val="22"/>
                <w:szCs w:val="22"/>
                <w:lang w:eastAsia="en-US"/>
              </w:rPr>
              <w:t>Baseline Hemodynamic Data</w:t>
            </w:r>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p>
        </w:tc>
      </w:tr>
      <w:tr w:rsidR="00A5751A" w:rsidRPr="00E76AFC" w:rsidTr="00E625A8">
        <w:trPr>
          <w:trHeight w:val="300"/>
        </w:trPr>
        <w:tc>
          <w:tcPr>
            <w:tcW w:w="26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369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Heart rate (</w:t>
            </w:r>
            <w:proofErr w:type="spellStart"/>
            <w:r w:rsidRPr="00E76AFC">
              <w:rPr>
                <w:rFonts w:ascii="Calibri" w:eastAsia="Times New Roman" w:hAnsi="Calibri" w:cs="Calibri"/>
                <w:color w:val="000000" w:themeColor="text1"/>
                <w:sz w:val="22"/>
                <w:szCs w:val="22"/>
                <w:lang w:eastAsia="en-US"/>
              </w:rPr>
              <w:t>bpm</w:t>
            </w:r>
            <w:proofErr w:type="spellEnd"/>
            <w:r w:rsidRPr="00E76AFC">
              <w:rPr>
                <w:rFonts w:ascii="Calibri" w:eastAsia="Times New Roman" w:hAnsi="Calibri" w:cs="Calibri"/>
                <w:color w:val="000000" w:themeColor="text1"/>
                <w:sz w:val="22"/>
                <w:szCs w:val="22"/>
                <w:lang w:eastAsia="en-US"/>
              </w:rPr>
              <w:t>)</w:t>
            </w:r>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71.8 ± 11.6</w:t>
            </w: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72.6 ± 10.0</w:t>
            </w: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7.0</w:t>
            </w:r>
          </w:p>
        </w:tc>
      </w:tr>
      <w:tr w:rsidR="00A5751A" w:rsidRPr="00E76AFC" w:rsidTr="00E625A8">
        <w:trPr>
          <w:trHeight w:val="300"/>
        </w:trPr>
        <w:tc>
          <w:tcPr>
            <w:tcW w:w="26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369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Mean arterial pressure (mmHg)</w:t>
            </w:r>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88.3 ± 10.7</w:t>
            </w: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87.7 ± 10.2</w:t>
            </w: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5.5</w:t>
            </w:r>
          </w:p>
        </w:tc>
      </w:tr>
      <w:tr w:rsidR="00A5751A" w:rsidRPr="00E76AFC" w:rsidTr="00E625A8">
        <w:trPr>
          <w:trHeight w:val="300"/>
        </w:trPr>
        <w:tc>
          <w:tcPr>
            <w:tcW w:w="26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p>
        </w:tc>
        <w:tc>
          <w:tcPr>
            <w:tcW w:w="3696" w:type="dxa"/>
            <w:tcBorders>
              <w:top w:val="nil"/>
              <w:left w:val="nil"/>
              <w:bottom w:val="nil"/>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Stroke volume index</w:t>
            </w:r>
          </w:p>
        </w:tc>
        <w:tc>
          <w:tcPr>
            <w:tcW w:w="134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43.7 ± 11.7</w:t>
            </w:r>
          </w:p>
        </w:tc>
        <w:tc>
          <w:tcPr>
            <w:tcW w:w="1520"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43.5 ± 10.3</w:t>
            </w:r>
          </w:p>
        </w:tc>
        <w:tc>
          <w:tcPr>
            <w:tcW w:w="1743" w:type="dxa"/>
            <w:tcBorders>
              <w:top w:val="nil"/>
              <w:left w:val="nil"/>
              <w:bottom w:val="nil"/>
              <w:right w:val="nil"/>
            </w:tcBorders>
            <w:shd w:val="clear" w:color="auto" w:fill="auto"/>
            <w:noWrap/>
            <w:vAlign w:val="bottom"/>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1.2</w:t>
            </w:r>
          </w:p>
        </w:tc>
      </w:tr>
      <w:tr w:rsidR="00A5751A" w:rsidRPr="00E76AFC" w:rsidTr="00E625A8">
        <w:trPr>
          <w:trHeight w:val="225"/>
        </w:trPr>
        <w:tc>
          <w:tcPr>
            <w:tcW w:w="266" w:type="dxa"/>
            <w:tcBorders>
              <w:top w:val="nil"/>
              <w:left w:val="nil"/>
              <w:bottom w:val="single" w:sz="4" w:space="0" w:color="auto"/>
              <w:right w:val="nil"/>
            </w:tcBorders>
            <w:shd w:val="clear" w:color="auto" w:fill="auto"/>
            <w:noWrap/>
            <w:vAlign w:val="bottom"/>
            <w:hideMark/>
          </w:tcPr>
          <w:p w:rsidR="00A5751A" w:rsidRPr="00E76AFC" w:rsidRDefault="00A5751A" w:rsidP="00E625A8">
            <w:pP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 </w:t>
            </w:r>
          </w:p>
        </w:tc>
        <w:tc>
          <w:tcPr>
            <w:tcW w:w="3696" w:type="dxa"/>
            <w:tcBorders>
              <w:top w:val="nil"/>
              <w:left w:val="nil"/>
              <w:bottom w:val="single" w:sz="4" w:space="0" w:color="auto"/>
              <w:right w:val="nil"/>
            </w:tcBorders>
            <w:shd w:val="clear" w:color="auto" w:fill="auto"/>
            <w:noWrap/>
            <w:hideMark/>
          </w:tcPr>
          <w:p w:rsidR="00A5751A" w:rsidRPr="00E76AFC" w:rsidRDefault="00A5751A" w:rsidP="00E625A8">
            <w:pP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Cardiac Index</w:t>
            </w:r>
          </w:p>
          <w:p w:rsidR="00A5751A" w:rsidRPr="00E76AFC" w:rsidRDefault="00A5751A" w:rsidP="00E625A8">
            <w:pPr>
              <w:rPr>
                <w:rFonts w:ascii="Calibri" w:eastAsia="Times New Roman" w:hAnsi="Calibri" w:cs="Calibri"/>
                <w:color w:val="000000" w:themeColor="text1"/>
                <w:sz w:val="22"/>
                <w:szCs w:val="22"/>
                <w:lang w:eastAsia="en-US"/>
              </w:rPr>
            </w:pPr>
          </w:p>
        </w:tc>
        <w:tc>
          <w:tcPr>
            <w:tcW w:w="1340" w:type="dxa"/>
            <w:tcBorders>
              <w:top w:val="nil"/>
              <w:left w:val="nil"/>
              <w:bottom w:val="single" w:sz="4" w:space="0" w:color="auto"/>
              <w:right w:val="nil"/>
            </w:tcBorders>
            <w:shd w:val="clear" w:color="auto" w:fill="auto"/>
            <w:noWrap/>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3.11 ± 0.85</w:t>
            </w:r>
          </w:p>
        </w:tc>
        <w:tc>
          <w:tcPr>
            <w:tcW w:w="1520" w:type="dxa"/>
            <w:tcBorders>
              <w:top w:val="nil"/>
              <w:left w:val="nil"/>
              <w:bottom w:val="single" w:sz="4" w:space="0" w:color="auto"/>
              <w:right w:val="nil"/>
            </w:tcBorders>
            <w:shd w:val="clear" w:color="auto" w:fill="auto"/>
            <w:noWrap/>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3.12 ± 0.83</w:t>
            </w:r>
          </w:p>
        </w:tc>
        <w:tc>
          <w:tcPr>
            <w:tcW w:w="1743" w:type="dxa"/>
            <w:tcBorders>
              <w:top w:val="nil"/>
              <w:left w:val="nil"/>
              <w:bottom w:val="single" w:sz="4" w:space="0" w:color="auto"/>
              <w:right w:val="nil"/>
            </w:tcBorders>
            <w:shd w:val="clear" w:color="auto" w:fill="auto"/>
            <w:noWrap/>
            <w:hideMark/>
          </w:tcPr>
          <w:p w:rsidR="00A5751A" w:rsidRPr="00E76AFC" w:rsidRDefault="00A5751A" w:rsidP="00E625A8">
            <w:pPr>
              <w:jc w:val="center"/>
              <w:rPr>
                <w:rFonts w:ascii="Calibri" w:eastAsia="Times New Roman" w:hAnsi="Calibri" w:cs="Calibri"/>
                <w:color w:val="000000" w:themeColor="text1"/>
                <w:sz w:val="22"/>
                <w:szCs w:val="22"/>
                <w:lang w:eastAsia="en-US"/>
              </w:rPr>
            </w:pPr>
            <w:r w:rsidRPr="00E76AFC">
              <w:rPr>
                <w:rFonts w:ascii="Calibri" w:eastAsia="Times New Roman" w:hAnsi="Calibri" w:cs="Calibri"/>
                <w:color w:val="000000" w:themeColor="text1"/>
                <w:sz w:val="22"/>
                <w:szCs w:val="22"/>
                <w:lang w:eastAsia="en-US"/>
              </w:rPr>
              <w:t>4.8</w:t>
            </w:r>
          </w:p>
        </w:tc>
      </w:tr>
    </w:tbl>
    <w:p w:rsidR="00A5751A" w:rsidRPr="00E76AFC" w:rsidRDefault="00A5751A" w:rsidP="00A5751A">
      <w:pPr>
        <w:rPr>
          <w:i/>
          <w:color w:val="000000" w:themeColor="text1"/>
          <w:sz w:val="20"/>
          <w:szCs w:val="20"/>
        </w:rPr>
      </w:pPr>
    </w:p>
    <w:p w:rsidR="00A5751A" w:rsidRPr="00E76AFC" w:rsidRDefault="00A5751A" w:rsidP="00A5751A">
      <w:pPr>
        <w:rPr>
          <w:i/>
          <w:color w:val="000000" w:themeColor="text1"/>
          <w:sz w:val="20"/>
          <w:szCs w:val="20"/>
        </w:rPr>
      </w:pPr>
      <w:r w:rsidRPr="00E76AFC">
        <w:rPr>
          <w:i/>
          <w:color w:val="000000" w:themeColor="text1"/>
          <w:sz w:val="20"/>
          <w:szCs w:val="20"/>
        </w:rPr>
        <w:t>Data expressed as mean ± standard deviation for scalar data or expressed as counts for categorical data.</w:t>
      </w:r>
    </w:p>
    <w:p w:rsidR="00A5751A" w:rsidRPr="00E76AFC" w:rsidRDefault="00A5751A" w:rsidP="00A5751A">
      <w:pPr>
        <w:rPr>
          <w:i/>
          <w:color w:val="000000" w:themeColor="text1"/>
          <w:sz w:val="20"/>
          <w:szCs w:val="20"/>
        </w:rPr>
      </w:pPr>
      <w:r w:rsidRPr="00E76AFC">
        <w:rPr>
          <w:i/>
          <w:color w:val="000000" w:themeColor="text1"/>
          <w:sz w:val="20"/>
          <w:szCs w:val="20"/>
        </w:rPr>
        <w:t>* Absolute standardized difference &gt; 10% is considered a significant imbalance in matching.</w:t>
      </w:r>
    </w:p>
    <w:p w:rsidR="00A5751A" w:rsidRDefault="00A5751A">
      <w:pPr>
        <w:rPr>
          <w:color w:val="000000" w:themeColor="text1"/>
        </w:rPr>
      </w:pPr>
    </w:p>
    <w:p w:rsidR="006B6455" w:rsidRDefault="006B6455">
      <w:pPr>
        <w:rPr>
          <w:color w:val="000000" w:themeColor="text1"/>
        </w:rPr>
      </w:pPr>
    </w:p>
    <w:p w:rsidR="004C1E6B" w:rsidRDefault="004C1E6B">
      <w:pPr>
        <w:rPr>
          <w:b/>
          <w:color w:val="000000" w:themeColor="text1"/>
        </w:rPr>
      </w:pPr>
      <w:r>
        <w:rPr>
          <w:b/>
          <w:color w:val="000000" w:themeColor="text1"/>
        </w:rPr>
        <w:br w:type="page"/>
      </w:r>
    </w:p>
    <w:p w:rsidR="006B6455" w:rsidRPr="00B80D0C" w:rsidRDefault="006B6455">
      <w:pPr>
        <w:rPr>
          <w:b/>
          <w:color w:val="000000" w:themeColor="text1"/>
        </w:rPr>
      </w:pPr>
      <w:r w:rsidRPr="00B80D0C">
        <w:rPr>
          <w:b/>
          <w:color w:val="000000" w:themeColor="text1"/>
        </w:rPr>
        <w:lastRenderedPageBreak/>
        <w:t xml:space="preserve">Model </w:t>
      </w:r>
    </w:p>
    <w:p w:rsidR="0095338F" w:rsidRDefault="00753653">
      <w:pPr>
        <w:rPr>
          <w:color w:val="000000" w:themeColor="text1"/>
        </w:rPr>
      </w:pPr>
      <w:r>
        <w:rPr>
          <w:color w:val="000000" w:themeColor="text1"/>
        </w:rPr>
        <w:tab/>
      </w:r>
    </w:p>
    <w:p w:rsidR="00A5751A" w:rsidRDefault="00C93852" w:rsidP="00753653">
      <w:pPr>
        <w:spacing w:line="480" w:lineRule="auto"/>
        <w:ind w:firstLine="720"/>
        <w:rPr>
          <w:color w:val="000000" w:themeColor="text1"/>
        </w:rPr>
      </w:pPr>
      <w:r w:rsidRPr="00E76AFC">
        <w:rPr>
          <w:color w:val="000000" w:themeColor="text1"/>
        </w:rPr>
        <w:t xml:space="preserve">The propensity score was estimated using logistic regression to regress group assignment on the predictors in </w:t>
      </w:r>
      <w:r w:rsidR="00A5751A">
        <w:rPr>
          <w:color w:val="000000" w:themeColor="text1"/>
        </w:rPr>
        <w:t>Table 1 (shown above)</w:t>
      </w:r>
      <w:r w:rsidRPr="00E76AFC">
        <w:rPr>
          <w:color w:val="000000" w:themeColor="text1"/>
        </w:rPr>
        <w:t>.</w:t>
      </w:r>
      <w:r w:rsidR="00F7010E">
        <w:rPr>
          <w:color w:val="000000" w:themeColor="text1"/>
        </w:rPr>
        <w:t xml:space="preserve">   A generalized linear model with a binary logist</w:t>
      </w:r>
      <w:bookmarkStart w:id="0" w:name="_GoBack"/>
      <w:bookmarkEnd w:id="0"/>
      <w:r w:rsidR="00F7010E">
        <w:rPr>
          <w:color w:val="000000" w:themeColor="text1"/>
        </w:rPr>
        <w:t>ic response predicting group assignme</w:t>
      </w:r>
      <w:r w:rsidR="00B80D0C">
        <w:rPr>
          <w:color w:val="000000" w:themeColor="text1"/>
        </w:rPr>
        <w:t>nt was run using the variables listed in the table as factors and covariates as appropriate.  Only main effects of each predictor were used</w:t>
      </w:r>
      <w:r w:rsidR="00E625A8">
        <w:rPr>
          <w:color w:val="000000" w:themeColor="text1"/>
        </w:rPr>
        <w:t xml:space="preserve"> with closed-loop patients assigned the score of 1 and manual patients assigned 0.  The mean </w:t>
      </w:r>
      <w:r w:rsidR="00974B0A">
        <w:rPr>
          <w:color w:val="000000" w:themeColor="text1"/>
        </w:rPr>
        <w:t>propensity score</w:t>
      </w:r>
      <w:r w:rsidR="00E625A8">
        <w:rPr>
          <w:color w:val="000000" w:themeColor="text1"/>
        </w:rPr>
        <w:t xml:space="preserve"> for the closed-loop assigned patients was 0.52 ± 0.20 and for the manual group 0.35 ± 0.17.  </w:t>
      </w:r>
    </w:p>
    <w:p w:rsidR="004C1E6B" w:rsidRDefault="00C93852" w:rsidP="00753653">
      <w:pPr>
        <w:spacing w:line="480" w:lineRule="auto"/>
        <w:ind w:firstLine="720"/>
        <w:rPr>
          <w:color w:val="000000" w:themeColor="text1"/>
        </w:rPr>
      </w:pPr>
      <w:r w:rsidRPr="00E76AFC">
        <w:rPr>
          <w:color w:val="000000" w:themeColor="text1"/>
        </w:rPr>
        <w:t>Each study patient was then matched 1:1 to a control case using calipers of 0.04 width (20% of the standard deviation of the propensity score) creating a control manual GDFT group (M) to compare to the closed-loop assisted group (CL).</w:t>
      </w:r>
      <w:r w:rsidR="00B80D0C">
        <w:rPr>
          <w:color w:val="000000" w:themeColor="text1"/>
        </w:rPr>
        <w:t xml:space="preserve">  Matches that minimized residual differences were favored over nearest</w:t>
      </w:r>
      <w:r w:rsidR="00974B0A">
        <w:rPr>
          <w:color w:val="000000" w:themeColor="text1"/>
        </w:rPr>
        <w:t xml:space="preserve"> propensity score</w:t>
      </w:r>
      <w:r w:rsidR="00B80D0C">
        <w:rPr>
          <w:color w:val="000000" w:themeColor="text1"/>
        </w:rPr>
        <w:t xml:space="preserve"> matches so long as they were within the caliper distance.</w:t>
      </w:r>
      <w:r w:rsidR="00E625A8">
        <w:rPr>
          <w:color w:val="000000" w:themeColor="text1"/>
        </w:rPr>
        <w:t xml:space="preserve">  The mean match distance</w:t>
      </w:r>
      <w:r w:rsidR="004C1E6B">
        <w:rPr>
          <w:color w:val="000000" w:themeColor="text1"/>
        </w:rPr>
        <w:t xml:space="preserve"> for </w:t>
      </w:r>
      <w:r w:rsidR="00974B0A">
        <w:rPr>
          <w:color w:val="000000" w:themeColor="text1"/>
        </w:rPr>
        <w:t>propensity score</w:t>
      </w:r>
      <w:r w:rsidR="00E625A8">
        <w:rPr>
          <w:color w:val="000000" w:themeColor="text1"/>
        </w:rPr>
        <w:t xml:space="preserve"> across all </w:t>
      </w:r>
      <w:r w:rsidR="004C1E6B">
        <w:rPr>
          <w:color w:val="000000" w:themeColor="text1"/>
        </w:rPr>
        <w:t>matched patient pairs</w:t>
      </w:r>
      <w:r w:rsidR="00E625A8">
        <w:rPr>
          <w:color w:val="000000" w:themeColor="text1"/>
        </w:rPr>
        <w:t xml:space="preserve"> was 0.015 ±</w:t>
      </w:r>
      <w:r w:rsidR="004C1E6B">
        <w:rPr>
          <w:color w:val="000000" w:themeColor="text1"/>
        </w:rPr>
        <w:t xml:space="preserve"> 0.012.  The absolute standardized differences</w:t>
      </w:r>
      <w:r w:rsidR="004C1E6B">
        <w:rPr>
          <w:color w:val="000000" w:themeColor="text1"/>
        </w:rPr>
        <w:fldChar w:fldCharType="begin">
          <w:fldData xml:space="preserve">PEVuZE5vdGU+PENpdGU+PEF1dGhvcj5BdXN0aW48L0F1dGhvcj48WWVhcj4yMDA4PC9ZZWFyPjxS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</w:fldData>
        </w:fldChar>
      </w:r>
      <w:r w:rsidR="004C1E6B">
        <w:rPr>
          <w:color w:val="000000" w:themeColor="text1"/>
        </w:rPr>
        <w:instrText xml:space="preserve"> ADDIN EN.CITE </w:instrText>
      </w:r>
      <w:r w:rsidR="004C1E6B">
        <w:rPr>
          <w:color w:val="000000" w:themeColor="text1"/>
        </w:rPr>
        <w:fldChar w:fldCharType="begin">
          <w:fldData xml:space="preserve">PEVuZE5vdGU+PENpdGU+PEF1dGhvcj5BdXN0aW48L0F1dGhvcj48WWVhcj4yMDA4PC9ZZWFyPjxS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</w:fldData>
        </w:fldChar>
      </w:r>
      <w:r w:rsidR="004C1E6B">
        <w:rPr>
          <w:color w:val="000000" w:themeColor="text1"/>
        </w:rPr>
        <w:instrText xml:space="preserve"> ADDIN EN.CITE.DATA </w:instrText>
      </w:r>
      <w:r w:rsidR="004C1E6B">
        <w:rPr>
          <w:color w:val="000000" w:themeColor="text1"/>
        </w:rPr>
      </w:r>
      <w:r w:rsidR="004C1E6B">
        <w:rPr>
          <w:color w:val="000000" w:themeColor="text1"/>
        </w:rPr>
        <w:fldChar w:fldCharType="end"/>
      </w:r>
      <w:r w:rsidR="004C1E6B">
        <w:rPr>
          <w:color w:val="000000" w:themeColor="text1"/>
        </w:rPr>
      </w:r>
      <w:r w:rsidR="004C1E6B">
        <w:rPr>
          <w:color w:val="000000" w:themeColor="text1"/>
        </w:rPr>
        <w:fldChar w:fldCharType="separate"/>
      </w:r>
      <w:hyperlink w:anchor="_ENREF_1" w:tooltip="Austin, 2008 #54099" w:history="1">
        <w:r w:rsidR="004C1E6B" w:rsidRPr="004C1E6B">
          <w:rPr>
            <w:noProof/>
            <w:color w:val="000000" w:themeColor="text1"/>
            <w:vertAlign w:val="superscript"/>
          </w:rPr>
          <w:t>1</w:t>
        </w:r>
      </w:hyperlink>
      <w:r w:rsidR="004C1E6B" w:rsidRPr="004C1E6B">
        <w:rPr>
          <w:noProof/>
          <w:color w:val="000000" w:themeColor="text1"/>
          <w:vertAlign w:val="superscript"/>
        </w:rPr>
        <w:t xml:space="preserve">, </w:t>
      </w:r>
      <w:hyperlink w:anchor="_ENREF_2" w:tooltip="Austin, 2009 #55379" w:history="1">
        <w:r w:rsidR="004C1E6B" w:rsidRPr="004C1E6B">
          <w:rPr>
            <w:noProof/>
            <w:color w:val="000000" w:themeColor="text1"/>
            <w:vertAlign w:val="superscript"/>
          </w:rPr>
          <w:t>2</w:t>
        </w:r>
      </w:hyperlink>
      <w:r w:rsidR="004C1E6B">
        <w:rPr>
          <w:color w:val="000000" w:themeColor="text1"/>
        </w:rPr>
        <w:fldChar w:fldCharType="end"/>
      </w:r>
      <w:r w:rsidR="004C1E6B">
        <w:rPr>
          <w:color w:val="000000" w:themeColor="text1"/>
        </w:rPr>
        <w:t xml:space="preserve"> are shown in Table 1.  </w:t>
      </w:r>
    </w:p>
    <w:p w:rsidR="00753653" w:rsidRDefault="004C1E6B" w:rsidP="00753653">
      <w:pPr>
        <w:spacing w:line="480" w:lineRule="auto"/>
        <w:ind w:firstLine="720"/>
        <w:rPr>
          <w:color w:val="000000" w:themeColor="text1"/>
        </w:rPr>
      </w:pPr>
      <w:r>
        <w:rPr>
          <w:color w:val="000000" w:themeColor="text1"/>
        </w:rPr>
        <w:t>The complete dataset used for matching along with the propensity score, predicted group assignment, and matched patient pairs are shown below in Table 2.</w:t>
      </w:r>
    </w:p>
    <w:p w:rsidR="00753653" w:rsidRDefault="00753653" w:rsidP="00753653">
      <w:pPr>
        <w:spacing w:line="480" w:lineRule="auto"/>
        <w:ind w:firstLine="720"/>
        <w:rPr>
          <w:color w:val="000000" w:themeColor="text1"/>
        </w:rPr>
      </w:pPr>
      <w:r>
        <w:rPr>
          <w:color w:val="000000" w:themeColor="text1"/>
        </w:rPr>
        <w:t>More complex regression modeling (using nested or hierarchical structures for the predictor variables) were not used because it was felt they would complicate modeling without substantially reducing the limitations inherent in case matching study.</w:t>
      </w:r>
    </w:p>
    <w:p w:rsidR="004C1E6B" w:rsidRDefault="004C1E6B" w:rsidP="004C1E6B">
      <w:pPr>
        <w:spacing w:line="480" w:lineRule="auto"/>
        <w:rPr>
          <w:color w:val="000000" w:themeColor="text1"/>
        </w:rPr>
      </w:pPr>
    </w:p>
    <w:p w:rsidR="00B80D0C" w:rsidRDefault="00B80D0C">
      <w:pPr>
        <w:rPr>
          <w:color w:val="000000" w:themeColor="text1"/>
        </w:rPr>
      </w:pPr>
    </w:p>
    <w:p w:rsidR="004C1E6B" w:rsidRDefault="004C1E6B">
      <w:pPr>
        <w:rPr>
          <w:b/>
          <w:color w:val="000000" w:themeColor="text1"/>
        </w:rPr>
      </w:pPr>
      <w:r>
        <w:rPr>
          <w:b/>
          <w:color w:val="000000" w:themeColor="text1"/>
        </w:rPr>
        <w:br w:type="page"/>
      </w:r>
    </w:p>
    <w:p w:rsidR="00D05F92" w:rsidRPr="00E625A8" w:rsidRDefault="00D05F92" w:rsidP="00753653">
      <w:pPr>
        <w:jc w:val="center"/>
        <w:rPr>
          <w:b/>
          <w:color w:val="000000" w:themeColor="text1"/>
        </w:rPr>
      </w:pPr>
      <w:r w:rsidRPr="00753653">
        <w:rPr>
          <w:b/>
          <w:color w:val="000000" w:themeColor="text1"/>
          <w:sz w:val="32"/>
        </w:rPr>
        <w:lastRenderedPageBreak/>
        <w:t>Table 2 – Case Matches</w:t>
      </w:r>
    </w:p>
    <w:p w:rsidR="00D05F92" w:rsidRDefault="00D05F92">
      <w:pPr>
        <w:rPr>
          <w:color w:val="000000" w:themeColor="text1"/>
        </w:rPr>
      </w:pPr>
    </w:p>
    <w:tbl>
      <w:tblPr>
        <w:tblW w:w="8960" w:type="dxa"/>
        <w:tblInd w:w="93" w:type="dxa"/>
        <w:tblLook w:val="04A0" w:firstRow="1" w:lastRow="0" w:firstColumn="1" w:lastColumn="0" w:noHBand="0" w:noVBand="1"/>
      </w:tblPr>
      <w:tblGrid>
        <w:gridCol w:w="580"/>
        <w:gridCol w:w="551"/>
        <w:gridCol w:w="620"/>
        <w:gridCol w:w="540"/>
        <w:gridCol w:w="551"/>
        <w:gridCol w:w="667"/>
        <w:gridCol w:w="580"/>
        <w:gridCol w:w="1031"/>
        <w:gridCol w:w="815"/>
        <w:gridCol w:w="1340"/>
        <w:gridCol w:w="1124"/>
        <w:gridCol w:w="880"/>
      </w:tblGrid>
      <w:tr w:rsidR="00E625A8" w:rsidRPr="00E625A8" w:rsidTr="00E625A8">
        <w:trPr>
          <w:trHeight w:val="780"/>
        </w:trPr>
        <w:tc>
          <w:tcPr>
            <w:tcW w:w="580" w:type="dxa"/>
            <w:tcBorders>
              <w:top w:val="nil"/>
              <w:left w:val="nil"/>
              <w:bottom w:val="nil"/>
              <w:right w:val="nil"/>
            </w:tcBorders>
            <w:shd w:val="clear" w:color="auto" w:fill="auto"/>
            <w:vAlign w:val="bottom"/>
            <w:hideMark/>
          </w:tcPr>
          <w:p w:rsidR="00E625A8" w:rsidRPr="00E625A8" w:rsidRDefault="00E625A8" w:rsidP="00E625A8">
            <w:pPr>
              <w:jc w:val="center"/>
              <w:rPr>
                <w:rFonts w:ascii="Calibri" w:eastAsia="Times New Roman" w:hAnsi="Calibri" w:cs="Calibri"/>
                <w:color w:val="000000"/>
                <w:sz w:val="20"/>
                <w:szCs w:val="20"/>
                <w:lang w:eastAsia="en-US"/>
              </w:rPr>
            </w:pPr>
            <w:r w:rsidRPr="00E625A8">
              <w:rPr>
                <w:rFonts w:ascii="Calibri" w:eastAsia="Times New Roman" w:hAnsi="Calibri" w:cs="Calibri"/>
                <w:color w:val="000000"/>
                <w:sz w:val="20"/>
                <w:szCs w:val="20"/>
                <w:lang w:eastAsia="en-US"/>
              </w:rPr>
              <w:t>SVI</w:t>
            </w:r>
          </w:p>
        </w:tc>
        <w:tc>
          <w:tcPr>
            <w:tcW w:w="540" w:type="dxa"/>
            <w:tcBorders>
              <w:top w:val="nil"/>
              <w:left w:val="nil"/>
              <w:bottom w:val="nil"/>
              <w:right w:val="nil"/>
            </w:tcBorders>
            <w:shd w:val="clear" w:color="auto" w:fill="auto"/>
            <w:vAlign w:val="bottom"/>
            <w:hideMark/>
          </w:tcPr>
          <w:p w:rsidR="00E625A8" w:rsidRPr="00E625A8" w:rsidRDefault="00E625A8" w:rsidP="00E625A8">
            <w:pPr>
              <w:jc w:val="center"/>
              <w:rPr>
                <w:rFonts w:ascii="Calibri" w:eastAsia="Times New Roman" w:hAnsi="Calibri" w:cs="Calibri"/>
                <w:color w:val="000000"/>
                <w:sz w:val="20"/>
                <w:szCs w:val="20"/>
                <w:lang w:eastAsia="en-US"/>
              </w:rPr>
            </w:pPr>
            <w:r w:rsidRPr="00E625A8">
              <w:rPr>
                <w:rFonts w:ascii="Calibri" w:eastAsia="Times New Roman" w:hAnsi="Calibri" w:cs="Calibri"/>
                <w:color w:val="000000"/>
                <w:sz w:val="20"/>
                <w:szCs w:val="20"/>
                <w:lang w:eastAsia="en-US"/>
              </w:rPr>
              <w:t>HR</w:t>
            </w:r>
          </w:p>
        </w:tc>
        <w:tc>
          <w:tcPr>
            <w:tcW w:w="620" w:type="dxa"/>
            <w:tcBorders>
              <w:top w:val="nil"/>
              <w:left w:val="nil"/>
              <w:bottom w:val="nil"/>
              <w:right w:val="nil"/>
            </w:tcBorders>
            <w:shd w:val="clear" w:color="auto" w:fill="auto"/>
            <w:vAlign w:val="bottom"/>
            <w:hideMark/>
          </w:tcPr>
          <w:p w:rsidR="00E625A8" w:rsidRPr="00E625A8" w:rsidRDefault="00E625A8" w:rsidP="00E625A8">
            <w:pPr>
              <w:jc w:val="center"/>
              <w:rPr>
                <w:rFonts w:ascii="Calibri" w:eastAsia="Times New Roman" w:hAnsi="Calibri" w:cs="Calibri"/>
                <w:color w:val="000000"/>
                <w:sz w:val="20"/>
                <w:szCs w:val="20"/>
                <w:lang w:eastAsia="en-US"/>
              </w:rPr>
            </w:pPr>
            <w:r w:rsidRPr="00E625A8">
              <w:rPr>
                <w:rFonts w:ascii="Calibri" w:eastAsia="Times New Roman" w:hAnsi="Calibri" w:cs="Calibri"/>
                <w:color w:val="000000"/>
                <w:sz w:val="20"/>
                <w:szCs w:val="20"/>
                <w:lang w:eastAsia="en-US"/>
              </w:rPr>
              <w:t>MAP</w:t>
            </w:r>
          </w:p>
        </w:tc>
        <w:tc>
          <w:tcPr>
            <w:tcW w:w="480" w:type="dxa"/>
            <w:tcBorders>
              <w:top w:val="nil"/>
              <w:left w:val="nil"/>
              <w:bottom w:val="nil"/>
              <w:right w:val="nil"/>
            </w:tcBorders>
            <w:shd w:val="clear" w:color="auto" w:fill="auto"/>
            <w:vAlign w:val="bottom"/>
            <w:hideMark/>
          </w:tcPr>
          <w:p w:rsidR="00E625A8" w:rsidRPr="00E625A8" w:rsidRDefault="00E625A8" w:rsidP="00E625A8">
            <w:pPr>
              <w:jc w:val="center"/>
              <w:rPr>
                <w:rFonts w:ascii="Calibri" w:eastAsia="Times New Roman" w:hAnsi="Calibri" w:cs="Calibri"/>
                <w:color w:val="000000"/>
                <w:sz w:val="20"/>
                <w:szCs w:val="20"/>
                <w:lang w:eastAsia="en-US"/>
              </w:rPr>
            </w:pPr>
            <w:r w:rsidRPr="00E625A8">
              <w:rPr>
                <w:rFonts w:ascii="Calibri" w:eastAsia="Times New Roman" w:hAnsi="Calibri" w:cs="Calibri"/>
                <w:color w:val="000000"/>
                <w:sz w:val="20"/>
                <w:szCs w:val="20"/>
                <w:lang w:eastAsia="en-US"/>
              </w:rPr>
              <w:t>ASA</w:t>
            </w:r>
          </w:p>
        </w:tc>
        <w:tc>
          <w:tcPr>
            <w:tcW w:w="500" w:type="dxa"/>
            <w:tcBorders>
              <w:top w:val="nil"/>
              <w:left w:val="nil"/>
              <w:bottom w:val="nil"/>
              <w:right w:val="nil"/>
            </w:tcBorders>
            <w:shd w:val="clear" w:color="auto" w:fill="auto"/>
            <w:vAlign w:val="bottom"/>
            <w:hideMark/>
          </w:tcPr>
          <w:p w:rsidR="00E625A8" w:rsidRPr="00E625A8" w:rsidRDefault="00E625A8" w:rsidP="00E625A8">
            <w:pPr>
              <w:jc w:val="center"/>
              <w:rPr>
                <w:rFonts w:ascii="Calibri" w:eastAsia="Times New Roman" w:hAnsi="Calibri" w:cs="Calibri"/>
                <w:color w:val="000000"/>
                <w:sz w:val="20"/>
                <w:szCs w:val="20"/>
                <w:lang w:eastAsia="en-US"/>
              </w:rPr>
            </w:pPr>
            <w:r w:rsidRPr="00E625A8">
              <w:rPr>
                <w:rFonts w:ascii="Calibri" w:eastAsia="Times New Roman" w:hAnsi="Calibri" w:cs="Calibri"/>
                <w:color w:val="000000"/>
                <w:sz w:val="20"/>
                <w:szCs w:val="20"/>
                <w:lang w:eastAsia="en-US"/>
              </w:rPr>
              <w:t>Kg</w:t>
            </w:r>
          </w:p>
        </w:tc>
        <w:tc>
          <w:tcPr>
            <w:tcW w:w="640" w:type="dxa"/>
            <w:tcBorders>
              <w:top w:val="nil"/>
              <w:left w:val="nil"/>
              <w:bottom w:val="nil"/>
              <w:right w:val="nil"/>
            </w:tcBorders>
            <w:shd w:val="clear" w:color="auto" w:fill="auto"/>
            <w:vAlign w:val="bottom"/>
            <w:hideMark/>
          </w:tcPr>
          <w:p w:rsidR="00E625A8" w:rsidRPr="00E625A8" w:rsidRDefault="00E625A8" w:rsidP="00E625A8">
            <w:pPr>
              <w:jc w:val="center"/>
              <w:rPr>
                <w:rFonts w:ascii="Calibri" w:eastAsia="Times New Roman" w:hAnsi="Calibri" w:cs="Calibri"/>
                <w:color w:val="000000"/>
                <w:sz w:val="20"/>
                <w:szCs w:val="20"/>
                <w:lang w:eastAsia="en-US"/>
              </w:rPr>
            </w:pPr>
            <w:r w:rsidRPr="00E625A8">
              <w:rPr>
                <w:rFonts w:ascii="Calibri" w:eastAsia="Times New Roman" w:hAnsi="Calibri" w:cs="Calibri"/>
                <w:color w:val="000000"/>
                <w:sz w:val="20"/>
                <w:szCs w:val="20"/>
                <w:lang w:eastAsia="en-US"/>
              </w:rPr>
              <w:t>PROC</w:t>
            </w:r>
          </w:p>
        </w:tc>
        <w:tc>
          <w:tcPr>
            <w:tcW w:w="580" w:type="dxa"/>
            <w:tcBorders>
              <w:top w:val="nil"/>
              <w:left w:val="nil"/>
              <w:bottom w:val="nil"/>
              <w:right w:val="nil"/>
            </w:tcBorders>
            <w:shd w:val="clear" w:color="auto" w:fill="auto"/>
            <w:vAlign w:val="bottom"/>
            <w:hideMark/>
          </w:tcPr>
          <w:p w:rsidR="00E625A8" w:rsidRPr="00E625A8" w:rsidRDefault="00E625A8" w:rsidP="00E625A8">
            <w:pPr>
              <w:jc w:val="center"/>
              <w:rPr>
                <w:rFonts w:ascii="Calibri" w:eastAsia="Times New Roman" w:hAnsi="Calibri" w:cs="Calibri"/>
                <w:color w:val="000000"/>
                <w:sz w:val="20"/>
                <w:szCs w:val="20"/>
                <w:lang w:eastAsia="en-US"/>
              </w:rPr>
            </w:pPr>
            <w:r w:rsidRPr="00E625A8">
              <w:rPr>
                <w:rFonts w:ascii="Calibri" w:eastAsia="Times New Roman" w:hAnsi="Calibri" w:cs="Calibri"/>
                <w:color w:val="000000"/>
                <w:sz w:val="20"/>
                <w:szCs w:val="20"/>
                <w:lang w:eastAsia="en-US"/>
              </w:rPr>
              <w:t>AGE</w:t>
            </w:r>
          </w:p>
        </w:tc>
        <w:tc>
          <w:tcPr>
            <w:tcW w:w="1000" w:type="dxa"/>
            <w:tcBorders>
              <w:top w:val="nil"/>
              <w:left w:val="nil"/>
              <w:bottom w:val="nil"/>
              <w:right w:val="nil"/>
            </w:tcBorders>
            <w:shd w:val="clear" w:color="auto" w:fill="auto"/>
            <w:vAlign w:val="bottom"/>
            <w:hideMark/>
          </w:tcPr>
          <w:p w:rsidR="00E625A8" w:rsidRPr="00E625A8" w:rsidRDefault="00E625A8" w:rsidP="00E625A8">
            <w:pPr>
              <w:jc w:val="center"/>
              <w:rPr>
                <w:rFonts w:ascii="Calibri" w:eastAsia="Times New Roman" w:hAnsi="Calibri" w:cs="Calibri"/>
                <w:color w:val="000000"/>
                <w:sz w:val="20"/>
                <w:szCs w:val="20"/>
                <w:lang w:eastAsia="en-US"/>
              </w:rPr>
            </w:pPr>
            <w:r w:rsidRPr="00E625A8">
              <w:rPr>
                <w:rFonts w:ascii="Calibri" w:eastAsia="Times New Roman" w:hAnsi="Calibri" w:cs="Calibri"/>
                <w:color w:val="000000"/>
                <w:sz w:val="20"/>
                <w:szCs w:val="20"/>
                <w:lang w:eastAsia="en-US"/>
              </w:rPr>
              <w:t>SURGEON</w:t>
            </w:r>
          </w:p>
        </w:tc>
        <w:tc>
          <w:tcPr>
            <w:tcW w:w="760" w:type="dxa"/>
            <w:tcBorders>
              <w:top w:val="nil"/>
              <w:left w:val="nil"/>
              <w:bottom w:val="nil"/>
              <w:right w:val="nil"/>
            </w:tcBorders>
            <w:shd w:val="clear" w:color="auto" w:fill="auto"/>
            <w:vAlign w:val="bottom"/>
            <w:hideMark/>
          </w:tcPr>
          <w:p w:rsidR="00E625A8" w:rsidRPr="00E625A8" w:rsidRDefault="00E625A8" w:rsidP="00E625A8">
            <w:pPr>
              <w:jc w:val="center"/>
              <w:rPr>
                <w:rFonts w:ascii="Calibri" w:eastAsia="Times New Roman" w:hAnsi="Calibri" w:cs="Calibri"/>
                <w:sz w:val="20"/>
                <w:szCs w:val="20"/>
                <w:lang w:eastAsia="en-US"/>
              </w:rPr>
            </w:pPr>
            <w:r w:rsidRPr="00E625A8">
              <w:rPr>
                <w:rFonts w:ascii="Calibri" w:eastAsia="Times New Roman" w:hAnsi="Calibri" w:cs="Calibri"/>
                <w:sz w:val="20"/>
                <w:szCs w:val="20"/>
                <w:lang w:eastAsia="en-US"/>
              </w:rPr>
              <w:t>GROUP</w:t>
            </w:r>
          </w:p>
        </w:tc>
        <w:tc>
          <w:tcPr>
            <w:tcW w:w="1340" w:type="dxa"/>
            <w:tcBorders>
              <w:top w:val="nil"/>
              <w:left w:val="nil"/>
              <w:bottom w:val="nil"/>
              <w:right w:val="nil"/>
            </w:tcBorders>
            <w:shd w:val="clear" w:color="auto" w:fill="auto"/>
            <w:vAlign w:val="bottom"/>
            <w:hideMark/>
          </w:tcPr>
          <w:p w:rsidR="00E625A8" w:rsidRPr="00E625A8" w:rsidRDefault="004C1E6B" w:rsidP="00E625A8">
            <w:pPr>
              <w:jc w:val="center"/>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PROPENSITY SCORE</w:t>
            </w:r>
          </w:p>
        </w:tc>
        <w:tc>
          <w:tcPr>
            <w:tcW w:w="1040" w:type="dxa"/>
            <w:tcBorders>
              <w:top w:val="nil"/>
              <w:left w:val="nil"/>
              <w:bottom w:val="nil"/>
              <w:right w:val="nil"/>
            </w:tcBorders>
            <w:shd w:val="clear" w:color="auto" w:fill="auto"/>
            <w:vAlign w:val="bottom"/>
            <w:hideMark/>
          </w:tcPr>
          <w:p w:rsidR="00E625A8" w:rsidRPr="00E625A8" w:rsidRDefault="00E625A8" w:rsidP="00E625A8">
            <w:pPr>
              <w:jc w:val="center"/>
              <w:rPr>
                <w:rFonts w:ascii="Calibri" w:eastAsia="Times New Roman" w:hAnsi="Calibri" w:cs="Calibri"/>
                <w:color w:val="000000"/>
                <w:sz w:val="20"/>
                <w:szCs w:val="20"/>
                <w:lang w:eastAsia="en-US"/>
              </w:rPr>
            </w:pPr>
            <w:r w:rsidRPr="00E625A8">
              <w:rPr>
                <w:rFonts w:ascii="Calibri" w:eastAsia="Times New Roman" w:hAnsi="Calibri" w:cs="Calibri"/>
                <w:color w:val="000000"/>
                <w:sz w:val="20"/>
                <w:szCs w:val="20"/>
                <w:lang w:eastAsia="en-US"/>
              </w:rPr>
              <w:t>PREDICTED GROUP</w:t>
            </w:r>
          </w:p>
        </w:tc>
        <w:tc>
          <w:tcPr>
            <w:tcW w:w="880" w:type="dxa"/>
            <w:tcBorders>
              <w:top w:val="nil"/>
              <w:left w:val="nil"/>
              <w:bottom w:val="nil"/>
              <w:right w:val="nil"/>
            </w:tcBorders>
            <w:shd w:val="clear" w:color="auto" w:fill="auto"/>
            <w:vAlign w:val="bottom"/>
            <w:hideMark/>
          </w:tcPr>
          <w:p w:rsidR="00E625A8" w:rsidRPr="00E625A8" w:rsidRDefault="00E625A8" w:rsidP="00E625A8">
            <w:pPr>
              <w:jc w:val="center"/>
              <w:rPr>
                <w:rFonts w:ascii="Calibri" w:eastAsia="Times New Roman" w:hAnsi="Calibri" w:cs="Calibri"/>
                <w:color w:val="000000"/>
                <w:sz w:val="20"/>
                <w:szCs w:val="20"/>
                <w:lang w:eastAsia="en-US"/>
              </w:rPr>
            </w:pPr>
            <w:r w:rsidRPr="00E625A8">
              <w:rPr>
                <w:rFonts w:ascii="Calibri" w:eastAsia="Times New Roman" w:hAnsi="Calibri" w:cs="Calibri"/>
                <w:color w:val="000000"/>
                <w:sz w:val="20"/>
                <w:szCs w:val="20"/>
                <w:lang w:eastAsia="en-US"/>
              </w:rPr>
              <w:t>CASE MATCH PAIR</w:t>
            </w:r>
          </w:p>
        </w:tc>
      </w:tr>
      <w:tr w:rsidR="00E625A8" w:rsidRPr="00E625A8" w:rsidTr="004C1E6B">
        <w:trPr>
          <w:trHeight w:val="198"/>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38</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116</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126</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97</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62</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0.03</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35</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80</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101</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70</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74</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0.10</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31</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102</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100</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59</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63</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0.10</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36</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82</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105</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54</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67</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0.12</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33</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70</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95</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57</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77</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0.13</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38</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74</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100</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44</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75</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0.14</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38</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65</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96</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62</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73</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0.16</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44</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62</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98</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48</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69</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0.17</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31</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117</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103</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57</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41</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0.17</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31</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70</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90</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59</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75</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0.17</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40</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60</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89</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70</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71</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0.18</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44</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114</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89</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83</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63</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0.20</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39</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77</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81</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48</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77</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0.21</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35</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52</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92</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76</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78</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0.21</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44</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80</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99</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73</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67</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0.21</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32</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88</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95</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59</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64</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0.22</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31</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72</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92</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60</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65</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0.23</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40</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79</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90</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88</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67</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0.23</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39</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75</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97</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77</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52</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0.24</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50</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92</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88</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62</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58</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0.24</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33</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55</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101</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87</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56</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0.24</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36</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68</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95</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64</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66</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0.25</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38</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64</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97</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78</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67</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0.25</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43</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75</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91</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73</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60</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0.25</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47</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77</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97</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78</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68</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0.26</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33</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62</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100</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76</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54</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0.27</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38</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71</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90</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60</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73</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0.30</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47</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79</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84</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76</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66</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0.30</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25</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91</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88</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143</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55</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0.31</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33</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88</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74</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61</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71</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0.32</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42</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67</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78</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61</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56</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0.33</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46</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56</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103</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109</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77</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0.33</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45</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75</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107</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94</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51</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0.34</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43</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64</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92</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57</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71</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0.34</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39</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53</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94</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73</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54</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0.35</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32</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60</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88</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77</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51</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0.35</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35</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71</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81</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62</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78</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0.36</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31</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55</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93</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75</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70</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0.36</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46</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89</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81</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73</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63</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0.36</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41</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85</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107</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62</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77</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0.36</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31</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91</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79</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82</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58</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0.36</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lastRenderedPageBreak/>
              <w:t>38</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77</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86</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75</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59</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0.36</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11</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61</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58</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91</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110</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74</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0.39</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11</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63</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73</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94</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19</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62</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0.41</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12</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28</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82</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74</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97</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63</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0.43</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12</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54</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73</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80</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66</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67</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0.43</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13</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65</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85</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87</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43</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30</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0.44</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13</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44</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78</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80</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69</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60</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0.44</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14</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52</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68</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95</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47</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60</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0.44</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15</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43</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65</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87</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61</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73</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0.45</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14</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31</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92</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63</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118</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70</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0.45</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15</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23</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62</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94</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93</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33</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0.45</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16</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40</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68</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79</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60</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55</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0.46</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16</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47</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78</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92</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67</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48</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0.46</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17</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27</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78</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86</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143</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77</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0.48</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17</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56</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72</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100</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55</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47</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0.49</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M</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18</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48</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77</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87</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98</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61</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0.50</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18</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36</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68</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103</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86</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62</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0.51</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19</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44</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82</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83</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54</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56</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0.52</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55</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67</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91</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86</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60</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0.53</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19</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40</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58</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78</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79</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74</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0.53</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20</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55</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68</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79</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89</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65</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0.54</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20</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54</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63</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108</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73</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62</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0.54</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32</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78</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90</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77</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64</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0.57</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65</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64</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76</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97</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66</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0.57</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21</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55</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82</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101</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83</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71</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0.58</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21</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46</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72</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84</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83</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60</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0.60</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22</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55</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57</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99</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62</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69</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0.60</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22</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49</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62</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85</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88</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67</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0.61</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23</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40</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68</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102</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77</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63</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0.62</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23</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32</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69</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87</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73</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36</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0.67</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43</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75</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91</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69</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57</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0.67</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47</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67</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74</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47</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36</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0.67</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24</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64</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76</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96</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71</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75</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0.67</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52</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64</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91</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82</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44</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0.68</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50</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74</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79</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56</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19</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0.70</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71</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69</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83</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51</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46</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0.71</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24</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27</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59</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95</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82</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67</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0.77</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46</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57</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102</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129</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73</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0.78</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36</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93</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80</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118</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58</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0.80</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51</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60</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82</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58</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54</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0.81</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38</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80</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62</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78</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63</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0.84</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25</w:t>
            </w:r>
          </w:p>
        </w:tc>
      </w:tr>
      <w:tr w:rsidR="00E625A8" w:rsidRPr="00E625A8" w:rsidTr="00E625A8">
        <w:trPr>
          <w:trHeight w:val="300"/>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52</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67</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70</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67</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3</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29</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M</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0.85</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25</w:t>
            </w:r>
          </w:p>
        </w:tc>
      </w:tr>
      <w:tr w:rsidR="00E625A8" w:rsidRPr="00E625A8" w:rsidTr="004C1E6B">
        <w:trPr>
          <w:trHeight w:val="297"/>
        </w:trPr>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57</w:t>
            </w:r>
          </w:p>
        </w:tc>
        <w:tc>
          <w:tcPr>
            <w:tcW w:w="5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64</w:t>
            </w:r>
          </w:p>
        </w:tc>
        <w:tc>
          <w:tcPr>
            <w:tcW w:w="62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94</w:t>
            </w:r>
          </w:p>
        </w:tc>
        <w:tc>
          <w:tcPr>
            <w:tcW w:w="4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4</w:t>
            </w:r>
          </w:p>
        </w:tc>
        <w:tc>
          <w:tcPr>
            <w:tcW w:w="5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70</w:t>
            </w:r>
          </w:p>
        </w:tc>
        <w:tc>
          <w:tcPr>
            <w:tcW w:w="6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2</w:t>
            </w:r>
          </w:p>
        </w:tc>
        <w:tc>
          <w:tcPr>
            <w:tcW w:w="5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56</w:t>
            </w:r>
          </w:p>
        </w:tc>
        <w:tc>
          <w:tcPr>
            <w:tcW w:w="100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1</w:t>
            </w:r>
          </w:p>
        </w:tc>
        <w:tc>
          <w:tcPr>
            <w:tcW w:w="76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sz w:val="22"/>
                <w:szCs w:val="22"/>
                <w:lang w:eastAsia="en-US"/>
              </w:rPr>
            </w:pPr>
            <w:r w:rsidRPr="004C1E6B">
              <w:rPr>
                <w:rFonts w:ascii="Calibri" w:eastAsia="Times New Roman" w:hAnsi="Calibri" w:cs="Calibri"/>
                <w:sz w:val="22"/>
                <w:szCs w:val="22"/>
                <w:lang w:eastAsia="en-US"/>
              </w:rPr>
              <w:t>C</w:t>
            </w:r>
          </w:p>
        </w:tc>
        <w:tc>
          <w:tcPr>
            <w:tcW w:w="13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0.87</w:t>
            </w:r>
          </w:p>
        </w:tc>
        <w:tc>
          <w:tcPr>
            <w:tcW w:w="104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r w:rsidRPr="004C1E6B">
              <w:rPr>
                <w:rFonts w:ascii="Calibri" w:eastAsia="Times New Roman" w:hAnsi="Calibri" w:cs="Calibri"/>
                <w:color w:val="000000"/>
                <w:sz w:val="22"/>
                <w:szCs w:val="22"/>
                <w:lang w:eastAsia="en-US"/>
              </w:rPr>
              <w:t>C</w:t>
            </w:r>
          </w:p>
        </w:tc>
        <w:tc>
          <w:tcPr>
            <w:tcW w:w="880" w:type="dxa"/>
            <w:tcBorders>
              <w:top w:val="nil"/>
              <w:left w:val="nil"/>
              <w:bottom w:val="nil"/>
              <w:right w:val="nil"/>
            </w:tcBorders>
            <w:shd w:val="clear" w:color="auto" w:fill="auto"/>
            <w:noWrap/>
            <w:vAlign w:val="bottom"/>
            <w:hideMark/>
          </w:tcPr>
          <w:p w:rsidR="00E625A8" w:rsidRPr="004C1E6B" w:rsidRDefault="00E625A8" w:rsidP="00E625A8">
            <w:pPr>
              <w:jc w:val="center"/>
              <w:rPr>
                <w:rFonts w:ascii="Calibri" w:eastAsia="Times New Roman" w:hAnsi="Calibri" w:cs="Calibri"/>
                <w:color w:val="000000"/>
                <w:sz w:val="22"/>
                <w:szCs w:val="22"/>
                <w:lang w:eastAsia="en-US"/>
              </w:rPr>
            </w:pPr>
          </w:p>
        </w:tc>
      </w:tr>
    </w:tbl>
    <w:p w:rsidR="00ED6EFC" w:rsidRDefault="00ED6EFC">
      <w:pPr>
        <w:rPr>
          <w:i/>
          <w:color w:val="000000" w:themeColor="text1"/>
        </w:rPr>
      </w:pPr>
    </w:p>
    <w:p w:rsidR="00E625A8" w:rsidRPr="00ED6EFC" w:rsidRDefault="00753653">
      <w:pPr>
        <w:rPr>
          <w:i/>
          <w:color w:val="000000" w:themeColor="text1"/>
          <w:sz w:val="20"/>
        </w:rPr>
      </w:pPr>
      <w:r w:rsidRPr="00ED6EFC">
        <w:rPr>
          <w:i/>
          <w:color w:val="000000" w:themeColor="text1"/>
          <w:sz w:val="20"/>
        </w:rPr>
        <w:t>Procedures: 1-whipple, 2-distal pancreas or spleen, 3-whipple+chole or liver, 4-Liver resection, 5 – gallbladder and lymph nodes, biliary tree, etc.</w:t>
      </w:r>
      <w:r w:rsidR="00ED6EFC" w:rsidRPr="00ED6EFC">
        <w:rPr>
          <w:i/>
          <w:color w:val="000000" w:themeColor="text1"/>
          <w:sz w:val="20"/>
        </w:rPr>
        <w:t xml:space="preserve">  Group: 0-manual, 1-closed-loop.</w:t>
      </w:r>
    </w:p>
    <w:p w:rsidR="00ED6EFC" w:rsidRPr="00753653" w:rsidRDefault="00ED6EFC">
      <w:pPr>
        <w:rPr>
          <w:i/>
          <w:color w:val="000000" w:themeColor="text1"/>
        </w:rPr>
      </w:pPr>
    </w:p>
    <w:p w:rsidR="00753653" w:rsidRPr="00753653" w:rsidRDefault="00753653" w:rsidP="004C1E6B">
      <w:pPr>
        <w:ind w:left="720" w:hanging="720"/>
        <w:rPr>
          <w:b/>
        </w:rPr>
      </w:pPr>
      <w:r w:rsidRPr="00753653">
        <w:rPr>
          <w:b/>
        </w:rPr>
        <w:t>REFERENCES</w:t>
      </w:r>
    </w:p>
    <w:p w:rsidR="00753653" w:rsidRDefault="00753653" w:rsidP="004C1E6B">
      <w:pPr>
        <w:ind w:left="720" w:hanging="720"/>
      </w:pPr>
    </w:p>
    <w:p w:rsidR="004C1E6B" w:rsidRDefault="00830C57" w:rsidP="004C1E6B">
      <w:pPr>
        <w:ind w:left="720" w:hanging="720"/>
        <w:rPr>
          <w:noProof/>
        </w:rPr>
      </w:pPr>
      <w:r>
        <w:fldChar w:fldCharType="begin"/>
      </w:r>
      <w:r>
        <w:instrText xml:space="preserve"> ADDIN EN.REFLIST </w:instrText>
      </w:r>
      <w:r>
        <w:fldChar w:fldCharType="separate"/>
      </w:r>
      <w:bookmarkStart w:id="1" w:name="_ENREF_1"/>
      <w:r w:rsidR="004C1E6B">
        <w:rPr>
          <w:noProof/>
        </w:rPr>
        <w:t>1.</w:t>
      </w:r>
      <w:r w:rsidR="004C1E6B">
        <w:rPr>
          <w:noProof/>
        </w:rPr>
        <w:tab/>
        <w:t xml:space="preserve">P. C. Austin, </w:t>
      </w:r>
      <w:r w:rsidR="004C1E6B" w:rsidRPr="004C1E6B">
        <w:rPr>
          <w:i/>
          <w:noProof/>
        </w:rPr>
        <w:t>Goodness-of-fit diagnostics for the propensity score model when estimating treatment effects using covariate adjustment with the propensity score.</w:t>
      </w:r>
      <w:r w:rsidR="004C1E6B">
        <w:rPr>
          <w:noProof/>
        </w:rPr>
        <w:t xml:space="preserve"> Pharmacoepidemiol Drug Saf, 2008. </w:t>
      </w:r>
      <w:r w:rsidR="004C1E6B" w:rsidRPr="004C1E6B">
        <w:rPr>
          <w:b/>
          <w:noProof/>
        </w:rPr>
        <w:t>17</w:t>
      </w:r>
      <w:r w:rsidR="004C1E6B">
        <w:rPr>
          <w:noProof/>
        </w:rPr>
        <w:t>(12): p. 1202-17.</w:t>
      </w:r>
      <w:bookmarkEnd w:id="1"/>
    </w:p>
    <w:p w:rsidR="004C1E6B" w:rsidRDefault="004C1E6B" w:rsidP="004C1E6B">
      <w:pPr>
        <w:ind w:left="720" w:hanging="720"/>
        <w:rPr>
          <w:noProof/>
        </w:rPr>
      </w:pPr>
      <w:bookmarkStart w:id="2" w:name="_ENREF_2"/>
      <w:r>
        <w:rPr>
          <w:noProof/>
        </w:rPr>
        <w:t>2.</w:t>
      </w:r>
      <w:r>
        <w:rPr>
          <w:noProof/>
        </w:rPr>
        <w:tab/>
        <w:t xml:space="preserve">P. C. Austin, </w:t>
      </w:r>
      <w:r w:rsidRPr="004C1E6B">
        <w:rPr>
          <w:i/>
          <w:noProof/>
        </w:rPr>
        <w:t>Balance diagnostics for comparing the distribution of baseline covariates between treatment groups in propensity-score matched samples.</w:t>
      </w:r>
      <w:r>
        <w:rPr>
          <w:noProof/>
        </w:rPr>
        <w:t xml:space="preserve"> Stat Med, 2009. </w:t>
      </w:r>
      <w:r w:rsidRPr="004C1E6B">
        <w:rPr>
          <w:b/>
          <w:noProof/>
        </w:rPr>
        <w:t>28</w:t>
      </w:r>
      <w:r>
        <w:rPr>
          <w:noProof/>
        </w:rPr>
        <w:t>(25): p. 3083-107.</w:t>
      </w:r>
      <w:bookmarkEnd w:id="2"/>
    </w:p>
    <w:p w:rsidR="004C1E6B" w:rsidRDefault="004C1E6B" w:rsidP="004C1E6B">
      <w:pPr>
        <w:rPr>
          <w:noProof/>
        </w:rPr>
      </w:pPr>
    </w:p>
    <w:p w:rsidR="00DE7F07" w:rsidRDefault="00830C57">
      <w:r>
        <w:fldChar w:fldCharType="end"/>
      </w:r>
    </w:p>
    <w:sectPr w:rsidR="00DE7F07" w:rsidSect="00753653">
      <w:pgSz w:w="12240" w:h="15840"/>
      <w:pgMar w:top="1080" w:right="1800" w:bottom="99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uperscrip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sdx5d5fyr2af6epsrv5dsdwtrxzv20fv5aw&quot;&gt;JoesLibrary&lt;record-ids&gt;&lt;item&gt;54099&lt;/item&gt;&lt;item&gt;55379&lt;/item&gt;&lt;/record-ids&gt;&lt;/item&gt;&lt;/Libraries&gt;"/>
  </w:docVars>
  <w:rsids>
    <w:rsidRoot w:val="00C93852"/>
    <w:rsid w:val="001642A0"/>
    <w:rsid w:val="002F2366"/>
    <w:rsid w:val="00392AE5"/>
    <w:rsid w:val="003C0ED0"/>
    <w:rsid w:val="004C1E6B"/>
    <w:rsid w:val="005110CA"/>
    <w:rsid w:val="006729D7"/>
    <w:rsid w:val="006B6455"/>
    <w:rsid w:val="00753653"/>
    <w:rsid w:val="00793699"/>
    <w:rsid w:val="00805CDA"/>
    <w:rsid w:val="00830C57"/>
    <w:rsid w:val="008D5957"/>
    <w:rsid w:val="009233E0"/>
    <w:rsid w:val="0095338F"/>
    <w:rsid w:val="00974B0A"/>
    <w:rsid w:val="00A5751A"/>
    <w:rsid w:val="00AA466A"/>
    <w:rsid w:val="00B80D0C"/>
    <w:rsid w:val="00C93852"/>
    <w:rsid w:val="00D05F92"/>
    <w:rsid w:val="00DE7F07"/>
    <w:rsid w:val="00E625A8"/>
    <w:rsid w:val="00EB644C"/>
    <w:rsid w:val="00ED6EFC"/>
    <w:rsid w:val="00F70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0C57"/>
    <w:rPr>
      <w:rFonts w:ascii="Tahoma" w:hAnsi="Tahoma" w:cs="Tahoma"/>
      <w:sz w:val="16"/>
      <w:szCs w:val="16"/>
    </w:rPr>
  </w:style>
  <w:style w:type="character" w:customStyle="1" w:styleId="BalloonTextChar">
    <w:name w:val="Balloon Text Char"/>
    <w:basedOn w:val="DefaultParagraphFont"/>
    <w:link w:val="BalloonText"/>
    <w:uiPriority w:val="99"/>
    <w:semiHidden/>
    <w:rsid w:val="00830C57"/>
    <w:rPr>
      <w:rFonts w:ascii="Tahoma" w:hAnsi="Tahoma" w:cs="Tahoma"/>
      <w:sz w:val="16"/>
      <w:szCs w:val="16"/>
      <w:lang w:eastAsia="zh-CN"/>
    </w:rPr>
  </w:style>
  <w:style w:type="character" w:styleId="Hyperlink">
    <w:name w:val="Hyperlink"/>
    <w:basedOn w:val="DefaultParagraphFont"/>
    <w:uiPriority w:val="99"/>
    <w:unhideWhenUsed/>
    <w:rsid w:val="00830C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0C57"/>
    <w:rPr>
      <w:rFonts w:ascii="Tahoma" w:hAnsi="Tahoma" w:cs="Tahoma"/>
      <w:sz w:val="16"/>
      <w:szCs w:val="16"/>
    </w:rPr>
  </w:style>
  <w:style w:type="character" w:customStyle="1" w:styleId="BalloonTextChar">
    <w:name w:val="Balloon Text Char"/>
    <w:basedOn w:val="DefaultParagraphFont"/>
    <w:link w:val="BalloonText"/>
    <w:uiPriority w:val="99"/>
    <w:semiHidden/>
    <w:rsid w:val="00830C57"/>
    <w:rPr>
      <w:rFonts w:ascii="Tahoma" w:hAnsi="Tahoma" w:cs="Tahoma"/>
      <w:sz w:val="16"/>
      <w:szCs w:val="16"/>
      <w:lang w:eastAsia="zh-CN"/>
    </w:rPr>
  </w:style>
  <w:style w:type="character" w:styleId="Hyperlink">
    <w:name w:val="Hyperlink"/>
    <w:basedOn w:val="DefaultParagraphFont"/>
    <w:uiPriority w:val="99"/>
    <w:unhideWhenUsed/>
    <w:rsid w:val="00830C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936856">
      <w:bodyDiv w:val="1"/>
      <w:marLeft w:val="0"/>
      <w:marRight w:val="0"/>
      <w:marTop w:val="0"/>
      <w:marBottom w:val="0"/>
      <w:divBdr>
        <w:top w:val="none" w:sz="0" w:space="0" w:color="auto"/>
        <w:left w:val="none" w:sz="0" w:space="0" w:color="auto"/>
        <w:bottom w:val="none" w:sz="0" w:space="0" w:color="auto"/>
        <w:right w:val="none" w:sz="0" w:space="0" w:color="auto"/>
      </w:divBdr>
    </w:div>
    <w:div w:id="708645172">
      <w:bodyDiv w:val="1"/>
      <w:marLeft w:val="0"/>
      <w:marRight w:val="0"/>
      <w:marTop w:val="0"/>
      <w:marBottom w:val="0"/>
      <w:divBdr>
        <w:top w:val="none" w:sz="0" w:space="0" w:color="auto"/>
        <w:left w:val="none" w:sz="0" w:space="0" w:color="auto"/>
        <w:bottom w:val="none" w:sz="0" w:space="0" w:color="auto"/>
        <w:right w:val="none" w:sz="0" w:space="0" w:color="auto"/>
      </w:divBdr>
    </w:div>
    <w:div w:id="177342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362</TotalTime>
  <Pages>7</Pages>
  <Words>1250</Words>
  <Characters>7126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Rinehart</dc:creator>
  <cp:lastModifiedBy>Joe Rinehart</cp:lastModifiedBy>
  <cp:revision>4</cp:revision>
  <dcterms:created xsi:type="dcterms:W3CDTF">2014-10-27T16:35:00Z</dcterms:created>
  <dcterms:modified xsi:type="dcterms:W3CDTF">2014-10-27T22:39:00Z</dcterms:modified>
</cp:coreProperties>
</file>