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4A6" w:rsidRDefault="004D1B2F" w:rsidP="00AA71F8">
      <w:pPr>
        <w:spacing w:after="0"/>
        <w:rPr>
          <w:rFonts w:ascii="Times New Roman" w:hAnsi="Times New Roman" w:cs="Times New Roman"/>
          <w:b/>
          <w:bCs/>
          <w:spacing w:val="0"/>
          <w:sz w:val="24"/>
          <w:szCs w:val="24"/>
        </w:rPr>
      </w:pPr>
      <w:r>
        <w:rPr>
          <w:rFonts w:ascii="Times New Roman" w:hAnsi="Times New Roman" w:cs="Times New Roman"/>
          <w:b/>
          <w:bCs/>
          <w:spacing w:val="0"/>
          <w:sz w:val="24"/>
          <w:szCs w:val="24"/>
        </w:rPr>
        <w:t xml:space="preserve">Additional File 1:  </w:t>
      </w:r>
      <w:bookmarkStart w:id="0" w:name="_GoBack"/>
      <w:bookmarkEnd w:id="0"/>
      <w:r>
        <w:rPr>
          <w:rFonts w:ascii="Times New Roman" w:hAnsi="Times New Roman" w:cs="Times New Roman"/>
          <w:b/>
          <w:bCs/>
          <w:spacing w:val="0"/>
          <w:sz w:val="24"/>
          <w:szCs w:val="24"/>
        </w:rPr>
        <w:t>METHODS</w:t>
      </w:r>
      <w:r w:rsidR="00C5643C" w:rsidRPr="00AA71F8">
        <w:rPr>
          <w:rFonts w:ascii="Times New Roman" w:hAnsi="Times New Roman" w:cs="Times New Roman"/>
          <w:b/>
          <w:bCs/>
          <w:spacing w:val="0"/>
          <w:sz w:val="24"/>
          <w:szCs w:val="24"/>
        </w:rPr>
        <w:t xml:space="preserve"> </w:t>
      </w:r>
      <w:r w:rsidR="00AA71F8" w:rsidRPr="00AA71F8">
        <w:rPr>
          <w:rFonts w:ascii="Times New Roman" w:hAnsi="Times New Roman" w:cs="Times New Roman"/>
          <w:b/>
          <w:bCs/>
          <w:spacing w:val="0"/>
          <w:sz w:val="24"/>
          <w:szCs w:val="24"/>
        </w:rPr>
        <w:t>SUPPLEMENT</w:t>
      </w:r>
    </w:p>
    <w:p w:rsidR="00AA71F8" w:rsidRPr="00AA71F8" w:rsidRDefault="00AA71F8" w:rsidP="00AA71F8">
      <w:pPr>
        <w:spacing w:after="0"/>
        <w:rPr>
          <w:rFonts w:ascii="Times New Roman" w:hAnsi="Times New Roman" w:cs="Times New Roman"/>
          <w:bCs/>
          <w:spacing w:val="0"/>
          <w:sz w:val="24"/>
          <w:szCs w:val="24"/>
        </w:rPr>
      </w:pPr>
      <w:proofErr w:type="spellStart"/>
      <w:r w:rsidRPr="00AA71F8">
        <w:rPr>
          <w:rFonts w:ascii="Times New Roman" w:hAnsi="Times New Roman" w:cs="Times New Roman"/>
          <w:bCs/>
          <w:spacing w:val="0"/>
          <w:sz w:val="24"/>
          <w:szCs w:val="24"/>
        </w:rPr>
        <w:t>Lantigua</w:t>
      </w:r>
      <w:proofErr w:type="spellEnd"/>
      <w:r w:rsidRPr="00AA71F8">
        <w:rPr>
          <w:rFonts w:ascii="Times New Roman" w:hAnsi="Times New Roman" w:cs="Times New Roman"/>
          <w:bCs/>
          <w:spacing w:val="0"/>
          <w:sz w:val="24"/>
          <w:szCs w:val="24"/>
        </w:rPr>
        <w:t xml:space="preserve"> et al, </w:t>
      </w:r>
      <w:r>
        <w:rPr>
          <w:rFonts w:ascii="Times New Roman" w:hAnsi="Times New Roman" w:cs="Times New Roman"/>
          <w:bCs/>
          <w:spacing w:val="0"/>
          <w:sz w:val="24"/>
          <w:szCs w:val="24"/>
        </w:rPr>
        <w:t>“Subarachnoid Hemorrhage:  Who Dies, and Why?”</w:t>
      </w:r>
    </w:p>
    <w:p w:rsidR="00AA71F8" w:rsidRPr="00AA71F8" w:rsidRDefault="00AA71F8" w:rsidP="00AA71F8">
      <w:pPr>
        <w:spacing w:after="0" w:line="480" w:lineRule="auto"/>
        <w:ind w:firstLine="720"/>
        <w:rPr>
          <w:rFonts w:ascii="Times New Roman" w:hAnsi="Times New Roman" w:cs="Times New Roman"/>
          <w:spacing w:val="0"/>
          <w:sz w:val="24"/>
          <w:szCs w:val="24"/>
        </w:rPr>
      </w:pPr>
    </w:p>
    <w:p w:rsidR="00AA71F8" w:rsidRDefault="00AA71F8" w:rsidP="00AA71F8">
      <w:pPr>
        <w:spacing w:after="0" w:line="480" w:lineRule="auto"/>
        <w:ind w:firstLine="720"/>
        <w:rPr>
          <w:rFonts w:ascii="Times New Roman" w:hAnsi="Times New Roman" w:cs="Times New Roman"/>
          <w:spacing w:val="0"/>
          <w:sz w:val="24"/>
          <w:szCs w:val="24"/>
        </w:rPr>
      </w:pPr>
      <w:r w:rsidRPr="00AA71F8">
        <w:rPr>
          <w:rFonts w:ascii="Times New Roman" w:hAnsi="Times New Roman" w:cs="Times New Roman"/>
          <w:i/>
          <w:spacing w:val="0"/>
          <w:sz w:val="24"/>
          <w:szCs w:val="24"/>
        </w:rPr>
        <w:t xml:space="preserve">Inclusion and exclusion Criteria:  </w:t>
      </w:r>
      <w:r w:rsidRPr="00AA71F8">
        <w:rPr>
          <w:rFonts w:ascii="Times New Roman" w:hAnsi="Times New Roman" w:cs="Times New Roman"/>
          <w:spacing w:val="0"/>
          <w:sz w:val="24"/>
          <w:szCs w:val="24"/>
        </w:rPr>
        <w:t xml:space="preserve">The diagnosis of SAH was established by the admission CT scan or by the presence of red blood cells and </w:t>
      </w:r>
      <w:proofErr w:type="spellStart"/>
      <w:r w:rsidRPr="00AA71F8">
        <w:rPr>
          <w:rFonts w:ascii="Times New Roman" w:hAnsi="Times New Roman" w:cs="Times New Roman"/>
          <w:spacing w:val="0"/>
          <w:sz w:val="24"/>
          <w:szCs w:val="24"/>
        </w:rPr>
        <w:t>xanthochromia</w:t>
      </w:r>
      <w:proofErr w:type="spellEnd"/>
      <w:r w:rsidRPr="00AA71F8">
        <w:rPr>
          <w:rFonts w:ascii="Times New Roman" w:hAnsi="Times New Roman" w:cs="Times New Roman"/>
          <w:spacing w:val="0"/>
          <w:sz w:val="24"/>
          <w:szCs w:val="24"/>
        </w:rPr>
        <w:t xml:space="preserve"> in the cerebrospinal fluid.  Inclusion criteria included patients 18 years or older with </w:t>
      </w:r>
      <w:proofErr w:type="spellStart"/>
      <w:r w:rsidRPr="00AA71F8">
        <w:rPr>
          <w:rFonts w:ascii="Times New Roman" w:hAnsi="Times New Roman" w:cs="Times New Roman"/>
          <w:spacing w:val="0"/>
          <w:sz w:val="24"/>
          <w:szCs w:val="24"/>
        </w:rPr>
        <w:t>aneurysmal</w:t>
      </w:r>
      <w:proofErr w:type="spellEnd"/>
      <w:r w:rsidRPr="00AA71F8">
        <w:rPr>
          <w:rFonts w:ascii="Times New Roman" w:hAnsi="Times New Roman" w:cs="Times New Roman"/>
          <w:spacing w:val="0"/>
          <w:sz w:val="24"/>
          <w:szCs w:val="24"/>
        </w:rPr>
        <w:t xml:space="preserve"> or spontaneous </w:t>
      </w:r>
      <w:proofErr w:type="spellStart"/>
      <w:r w:rsidRPr="00AA71F8">
        <w:rPr>
          <w:rFonts w:ascii="Times New Roman" w:hAnsi="Times New Roman" w:cs="Times New Roman"/>
          <w:spacing w:val="0"/>
          <w:sz w:val="24"/>
          <w:szCs w:val="24"/>
        </w:rPr>
        <w:t>nonaneurysmal</w:t>
      </w:r>
      <w:proofErr w:type="spellEnd"/>
      <w:r w:rsidRPr="00AA71F8">
        <w:rPr>
          <w:rFonts w:ascii="Times New Roman" w:hAnsi="Times New Roman" w:cs="Times New Roman"/>
          <w:spacing w:val="0"/>
          <w:sz w:val="24"/>
          <w:szCs w:val="24"/>
        </w:rPr>
        <w:t xml:space="preserve"> SAH admitted with 14 days of the proximal bleeding event.  Patients with SAH due to trauma, </w:t>
      </w:r>
      <w:proofErr w:type="spellStart"/>
      <w:r w:rsidRPr="00AA71F8">
        <w:rPr>
          <w:rFonts w:ascii="Times New Roman" w:hAnsi="Times New Roman" w:cs="Times New Roman"/>
          <w:spacing w:val="0"/>
          <w:sz w:val="24"/>
          <w:szCs w:val="24"/>
        </w:rPr>
        <w:t>arteriovenous</w:t>
      </w:r>
      <w:proofErr w:type="spellEnd"/>
      <w:r w:rsidRPr="00AA71F8">
        <w:rPr>
          <w:rFonts w:ascii="Times New Roman" w:hAnsi="Times New Roman" w:cs="Times New Roman"/>
          <w:spacing w:val="0"/>
          <w:sz w:val="24"/>
          <w:szCs w:val="24"/>
        </w:rPr>
        <w:t xml:space="preserve"> malformation rupture, hemorrhagic infarction, </w:t>
      </w:r>
      <w:proofErr w:type="spellStart"/>
      <w:r w:rsidRPr="00AA71F8">
        <w:rPr>
          <w:rFonts w:ascii="Times New Roman" w:hAnsi="Times New Roman" w:cs="Times New Roman"/>
          <w:spacing w:val="0"/>
          <w:sz w:val="24"/>
          <w:szCs w:val="24"/>
        </w:rPr>
        <w:t>vasculitis</w:t>
      </w:r>
      <w:proofErr w:type="spellEnd"/>
      <w:r w:rsidRPr="00AA71F8">
        <w:rPr>
          <w:rFonts w:ascii="Times New Roman" w:hAnsi="Times New Roman" w:cs="Times New Roman"/>
          <w:spacing w:val="0"/>
          <w:sz w:val="24"/>
          <w:szCs w:val="24"/>
        </w:rPr>
        <w:t xml:space="preserve">, or other structural lesions were excluded.  </w:t>
      </w:r>
    </w:p>
    <w:p w:rsidR="0044529D" w:rsidRPr="00DA3369" w:rsidRDefault="004F39A6" w:rsidP="00AA71F8">
      <w:pPr>
        <w:spacing w:after="0" w:line="480" w:lineRule="auto"/>
        <w:ind w:firstLine="720"/>
        <w:rPr>
          <w:rFonts w:ascii="Times New Roman" w:hAnsi="Times New Roman" w:cs="Times New Roman"/>
          <w:spacing w:val="0"/>
          <w:sz w:val="24"/>
          <w:szCs w:val="24"/>
        </w:rPr>
      </w:pPr>
      <w:proofErr w:type="gramStart"/>
      <w:r w:rsidRPr="004F39A6">
        <w:rPr>
          <w:rFonts w:ascii="Times New Roman" w:hAnsi="Times New Roman" w:cs="Times New Roman"/>
          <w:i/>
          <w:spacing w:val="0"/>
          <w:sz w:val="24"/>
          <w:szCs w:val="24"/>
        </w:rPr>
        <w:t>Aneurysm Management.</w:t>
      </w:r>
      <w:proofErr w:type="gramEnd"/>
      <w:r w:rsidR="0044529D">
        <w:rPr>
          <w:rFonts w:ascii="Times New Roman" w:hAnsi="Times New Roman" w:cs="Times New Roman"/>
          <w:i/>
          <w:spacing w:val="0"/>
          <w:sz w:val="24"/>
          <w:szCs w:val="24"/>
        </w:rPr>
        <w:t xml:space="preserve">  </w:t>
      </w:r>
      <w:r w:rsidR="00DA3369">
        <w:rPr>
          <w:rFonts w:ascii="Times New Roman" w:hAnsi="Times New Roman" w:cs="Times New Roman"/>
          <w:spacing w:val="0"/>
          <w:sz w:val="24"/>
          <w:szCs w:val="24"/>
        </w:rPr>
        <w:t xml:space="preserve">Clipping versus coiling of aneurysms was determined by the consensus of the neurosurgical team.  Over the 12 year study period there was no major change in the proportion of patients treated with clipping versus coiling. </w:t>
      </w:r>
      <w:r w:rsidR="00B61E40">
        <w:rPr>
          <w:rFonts w:ascii="Times New Roman" w:hAnsi="Times New Roman" w:cs="Times New Roman"/>
          <w:spacing w:val="0"/>
          <w:sz w:val="24"/>
          <w:szCs w:val="24"/>
        </w:rPr>
        <w:t xml:space="preserve"> Starting in 2000, we adopted a policy of offering aneurysm repair and a one-week trial of critical care to all but the most moribund grade 5 patients (e.g. brainstem failure).</w:t>
      </w:r>
    </w:p>
    <w:p w:rsidR="00AA71F8" w:rsidRDefault="00AA71F8" w:rsidP="00655264">
      <w:pPr>
        <w:spacing w:after="0" w:line="480" w:lineRule="auto"/>
        <w:ind w:firstLine="720"/>
        <w:rPr>
          <w:rFonts w:ascii="Times New Roman" w:hAnsi="Times New Roman" w:cs="Times New Roman"/>
          <w:spacing w:val="0"/>
          <w:sz w:val="24"/>
          <w:szCs w:val="24"/>
        </w:rPr>
      </w:pPr>
      <w:proofErr w:type="gramStart"/>
      <w:r w:rsidRPr="00AA71F8">
        <w:rPr>
          <w:rFonts w:ascii="Times New Roman" w:hAnsi="Times New Roman" w:cs="Times New Roman"/>
          <w:i/>
          <w:spacing w:val="0"/>
          <w:sz w:val="24"/>
          <w:szCs w:val="24"/>
        </w:rPr>
        <w:t>Details of Clinical Management.</w:t>
      </w:r>
      <w:proofErr w:type="gramEnd"/>
      <w:r w:rsidRPr="00AA71F8">
        <w:rPr>
          <w:rFonts w:ascii="Times New Roman" w:hAnsi="Times New Roman" w:cs="Times New Roman"/>
          <w:spacing w:val="0"/>
          <w:sz w:val="24"/>
          <w:szCs w:val="24"/>
        </w:rPr>
        <w:t xml:space="preserve">  All patients received </w:t>
      </w:r>
      <w:proofErr w:type="spellStart"/>
      <w:r w:rsidRPr="00AA71F8">
        <w:rPr>
          <w:rFonts w:ascii="Times New Roman" w:hAnsi="Times New Roman" w:cs="Times New Roman"/>
          <w:spacing w:val="0"/>
          <w:sz w:val="24"/>
          <w:szCs w:val="24"/>
        </w:rPr>
        <w:t>nimodipine</w:t>
      </w:r>
      <w:proofErr w:type="spellEnd"/>
      <w:r w:rsidRPr="00AA71F8">
        <w:rPr>
          <w:rFonts w:ascii="Times New Roman" w:hAnsi="Times New Roman" w:cs="Times New Roman"/>
          <w:spacing w:val="0"/>
          <w:sz w:val="24"/>
          <w:szCs w:val="24"/>
        </w:rPr>
        <w:t xml:space="preserve"> every 4 hours, </w:t>
      </w:r>
      <w:proofErr w:type="spellStart"/>
      <w:r w:rsidRPr="00AA71F8">
        <w:rPr>
          <w:rFonts w:ascii="Times New Roman" w:hAnsi="Times New Roman" w:cs="Times New Roman"/>
          <w:spacing w:val="0"/>
          <w:sz w:val="24"/>
          <w:szCs w:val="24"/>
        </w:rPr>
        <w:t>phenytoin</w:t>
      </w:r>
      <w:proofErr w:type="spellEnd"/>
      <w:r w:rsidRPr="00AA71F8">
        <w:rPr>
          <w:rFonts w:ascii="Times New Roman" w:hAnsi="Times New Roman" w:cs="Times New Roman"/>
          <w:spacing w:val="0"/>
          <w:sz w:val="24"/>
          <w:szCs w:val="24"/>
        </w:rPr>
        <w:t xml:space="preserve"> or </w:t>
      </w:r>
      <w:proofErr w:type="spellStart"/>
      <w:r w:rsidRPr="00AA71F8">
        <w:rPr>
          <w:rFonts w:ascii="Times New Roman" w:hAnsi="Times New Roman" w:cs="Times New Roman"/>
          <w:spacing w:val="0"/>
          <w:sz w:val="24"/>
          <w:szCs w:val="24"/>
        </w:rPr>
        <w:t>levatiracetam</w:t>
      </w:r>
      <w:proofErr w:type="spellEnd"/>
      <w:r w:rsidRPr="00AA71F8">
        <w:rPr>
          <w:rFonts w:ascii="Times New Roman" w:hAnsi="Times New Roman" w:cs="Times New Roman"/>
          <w:spacing w:val="0"/>
          <w:sz w:val="24"/>
          <w:szCs w:val="24"/>
        </w:rPr>
        <w:t xml:space="preserve"> </w:t>
      </w:r>
      <w:proofErr w:type="spellStart"/>
      <w:r w:rsidRPr="00AA71F8">
        <w:rPr>
          <w:rFonts w:ascii="Times New Roman" w:hAnsi="Times New Roman" w:cs="Times New Roman"/>
          <w:spacing w:val="0"/>
          <w:sz w:val="24"/>
          <w:szCs w:val="24"/>
        </w:rPr>
        <w:t>perioperatively</w:t>
      </w:r>
      <w:proofErr w:type="spellEnd"/>
      <w:r w:rsidRPr="00AA71F8">
        <w:rPr>
          <w:rFonts w:ascii="Times New Roman" w:hAnsi="Times New Roman" w:cs="Times New Roman"/>
          <w:spacing w:val="0"/>
          <w:sz w:val="24"/>
          <w:szCs w:val="24"/>
        </w:rPr>
        <w:t xml:space="preserve"> for seizure prophylaxis </w:t>
      </w:r>
      <w:r w:rsidR="00C80983">
        <w:rPr>
          <w:rFonts w:ascii="Times New Roman" w:hAnsi="Times New Roman" w:cs="Times New Roman"/>
          <w:spacing w:val="0"/>
          <w:sz w:val="24"/>
          <w:szCs w:val="24"/>
        </w:rPr>
        <w:t xml:space="preserve">(predominantly </w:t>
      </w:r>
      <w:proofErr w:type="spellStart"/>
      <w:r w:rsidR="00C80983">
        <w:rPr>
          <w:rFonts w:ascii="Times New Roman" w:hAnsi="Times New Roman" w:cs="Times New Roman"/>
          <w:spacing w:val="0"/>
          <w:sz w:val="24"/>
          <w:szCs w:val="24"/>
        </w:rPr>
        <w:t>levatiracetam</w:t>
      </w:r>
      <w:proofErr w:type="spellEnd"/>
      <w:r w:rsidR="00C80983">
        <w:rPr>
          <w:rFonts w:ascii="Times New Roman" w:hAnsi="Times New Roman" w:cs="Times New Roman"/>
          <w:spacing w:val="0"/>
          <w:sz w:val="24"/>
          <w:szCs w:val="24"/>
        </w:rPr>
        <w:t xml:space="preserve"> as of 2008)</w:t>
      </w:r>
      <w:r w:rsidRPr="00AA71F8">
        <w:rPr>
          <w:rFonts w:ascii="Times New Roman" w:hAnsi="Times New Roman" w:cs="Times New Roman"/>
          <w:spacing w:val="0"/>
          <w:sz w:val="24"/>
          <w:szCs w:val="24"/>
        </w:rPr>
        <w:t xml:space="preserve">, and 0.9% normal saline at a rate of 1 mL/kg per hour with supplemental 5% albumin or normal saline to maintain central venous pressure &gt;5 mm Hg.  </w:t>
      </w:r>
      <w:r w:rsidR="0044529D">
        <w:rPr>
          <w:rFonts w:ascii="Times New Roman" w:hAnsi="Times New Roman" w:cs="Times New Roman"/>
          <w:spacing w:val="0"/>
          <w:sz w:val="24"/>
          <w:szCs w:val="24"/>
        </w:rPr>
        <w:t xml:space="preserve">Staring in 2006, we discontinued </w:t>
      </w:r>
      <w:r w:rsidR="00C80983">
        <w:rPr>
          <w:rFonts w:ascii="Times New Roman" w:hAnsi="Times New Roman" w:cs="Times New Roman"/>
          <w:spacing w:val="0"/>
          <w:sz w:val="24"/>
          <w:szCs w:val="24"/>
        </w:rPr>
        <w:t xml:space="preserve">the </w:t>
      </w:r>
      <w:r w:rsidR="0044529D">
        <w:rPr>
          <w:rFonts w:ascii="Times New Roman" w:hAnsi="Times New Roman" w:cs="Times New Roman"/>
          <w:spacing w:val="0"/>
          <w:sz w:val="24"/>
          <w:szCs w:val="24"/>
        </w:rPr>
        <w:t>routine use of supplemental 5% albumin</w:t>
      </w:r>
      <w:r w:rsidR="00C80983">
        <w:rPr>
          <w:rFonts w:ascii="Times New Roman" w:hAnsi="Times New Roman" w:cs="Times New Roman"/>
          <w:spacing w:val="0"/>
          <w:sz w:val="24"/>
          <w:szCs w:val="24"/>
        </w:rPr>
        <w:t>, and in 2008 we abandoned the routine use of CVP targets for fluid administration, focusing instead on maintaining even cumulative fluid balance, ultrasound markers of fluid responsiveness, and PICCO monitoring of global end diastolic volume in poor grade patients</w:t>
      </w:r>
      <w:r w:rsidR="0044529D">
        <w:rPr>
          <w:rFonts w:ascii="Times New Roman" w:hAnsi="Times New Roman" w:cs="Times New Roman"/>
          <w:spacing w:val="0"/>
          <w:sz w:val="24"/>
          <w:szCs w:val="24"/>
        </w:rPr>
        <w:t xml:space="preserve">.  </w:t>
      </w:r>
      <w:r w:rsidRPr="00AA71F8">
        <w:rPr>
          <w:rFonts w:ascii="Times New Roman" w:hAnsi="Times New Roman" w:cs="Times New Roman"/>
          <w:spacing w:val="0"/>
          <w:sz w:val="24"/>
          <w:szCs w:val="24"/>
        </w:rPr>
        <w:t xml:space="preserve">External ventricular drainage (EVD) was placed in patients with symptomatic hydrocephalus or </w:t>
      </w:r>
      <w:proofErr w:type="spellStart"/>
      <w:r w:rsidRPr="00AA71F8">
        <w:rPr>
          <w:rFonts w:ascii="Times New Roman" w:hAnsi="Times New Roman" w:cs="Times New Roman"/>
          <w:spacing w:val="0"/>
          <w:sz w:val="24"/>
          <w:szCs w:val="24"/>
        </w:rPr>
        <w:t>intraventricular</w:t>
      </w:r>
      <w:proofErr w:type="spellEnd"/>
      <w:r w:rsidRPr="00AA71F8">
        <w:rPr>
          <w:rFonts w:ascii="Times New Roman" w:hAnsi="Times New Roman" w:cs="Times New Roman"/>
          <w:spacing w:val="0"/>
          <w:sz w:val="24"/>
          <w:szCs w:val="24"/>
        </w:rPr>
        <w:t xml:space="preserve"> hemorrhage with reduced level of consciousness. </w:t>
      </w:r>
      <w:r w:rsidR="00655264">
        <w:rPr>
          <w:rFonts w:ascii="Times New Roman" w:hAnsi="Times New Roman" w:cs="Times New Roman"/>
          <w:spacing w:val="0"/>
          <w:sz w:val="24"/>
          <w:szCs w:val="24"/>
        </w:rPr>
        <w:t xml:space="preserve">Starting in 2003, we adopted a policy of administering epsilon </w:t>
      </w:r>
      <w:proofErr w:type="spellStart"/>
      <w:r w:rsidR="00655264">
        <w:rPr>
          <w:rFonts w:ascii="Times New Roman" w:hAnsi="Times New Roman" w:cs="Times New Roman"/>
          <w:spacing w:val="0"/>
          <w:sz w:val="24"/>
          <w:szCs w:val="24"/>
        </w:rPr>
        <w:t>aminocaproic</w:t>
      </w:r>
      <w:proofErr w:type="spellEnd"/>
      <w:r w:rsidR="00655264">
        <w:rPr>
          <w:rFonts w:ascii="Times New Roman" w:hAnsi="Times New Roman" w:cs="Times New Roman"/>
          <w:spacing w:val="0"/>
          <w:sz w:val="24"/>
          <w:szCs w:val="24"/>
        </w:rPr>
        <w:t xml:space="preserve"> acid </w:t>
      </w:r>
      <w:r w:rsidR="00655264">
        <w:rPr>
          <w:rFonts w:ascii="Times New Roman" w:hAnsi="Times New Roman" w:cs="Times New Roman"/>
          <w:spacing w:val="0"/>
          <w:sz w:val="24"/>
          <w:szCs w:val="24"/>
        </w:rPr>
        <w:lastRenderedPageBreak/>
        <w:t xml:space="preserve">(4g, followed by 1 g/hr until angiography) to all patients at the time of diagnosis.  </w:t>
      </w:r>
      <w:r w:rsidRPr="00AA71F8">
        <w:rPr>
          <w:rFonts w:ascii="Times New Roman" w:hAnsi="Times New Roman" w:cs="Times New Roman"/>
          <w:spacing w:val="0"/>
          <w:sz w:val="24"/>
          <w:szCs w:val="24"/>
        </w:rPr>
        <w:t xml:space="preserve">All patients underwent digital subtraction angiography on admission, and serial </w:t>
      </w:r>
      <w:proofErr w:type="spellStart"/>
      <w:r w:rsidRPr="00AA71F8">
        <w:rPr>
          <w:rFonts w:ascii="Times New Roman" w:hAnsi="Times New Roman" w:cs="Times New Roman"/>
          <w:spacing w:val="0"/>
          <w:sz w:val="24"/>
          <w:szCs w:val="24"/>
        </w:rPr>
        <w:t>transcranial</w:t>
      </w:r>
      <w:proofErr w:type="spellEnd"/>
      <w:r w:rsidRPr="00AA71F8">
        <w:rPr>
          <w:rFonts w:ascii="Times New Roman" w:hAnsi="Times New Roman" w:cs="Times New Roman"/>
          <w:spacing w:val="0"/>
          <w:sz w:val="24"/>
          <w:szCs w:val="24"/>
        </w:rPr>
        <w:t xml:space="preserve"> Doppler </w:t>
      </w:r>
      <w:proofErr w:type="spellStart"/>
      <w:r w:rsidRPr="00AA71F8">
        <w:rPr>
          <w:rFonts w:ascii="Times New Roman" w:hAnsi="Times New Roman" w:cs="Times New Roman"/>
          <w:spacing w:val="0"/>
          <w:sz w:val="24"/>
          <w:szCs w:val="24"/>
        </w:rPr>
        <w:t>sonography</w:t>
      </w:r>
      <w:proofErr w:type="spellEnd"/>
      <w:r w:rsidRPr="00AA71F8">
        <w:rPr>
          <w:rFonts w:ascii="Times New Roman" w:hAnsi="Times New Roman" w:cs="Times New Roman"/>
          <w:spacing w:val="0"/>
          <w:sz w:val="24"/>
          <w:szCs w:val="24"/>
        </w:rPr>
        <w:t xml:space="preserve"> or CT angiography thereafter to monitor for vasospasm. </w:t>
      </w:r>
      <w:r w:rsidR="00C5643C">
        <w:rPr>
          <w:rFonts w:ascii="Times New Roman" w:hAnsi="Times New Roman" w:cs="Times New Roman"/>
          <w:spacing w:val="0"/>
          <w:sz w:val="24"/>
          <w:szCs w:val="24"/>
        </w:rPr>
        <w:t xml:space="preserve"> Prior to 2003 we used SPECT scanning for mapping cerebral perfusion in selected patients, before switching to CT perfusion imaging. </w:t>
      </w:r>
      <w:r w:rsidRPr="00AA71F8">
        <w:rPr>
          <w:rFonts w:ascii="Times New Roman" w:hAnsi="Times New Roman" w:cs="Times New Roman"/>
          <w:spacing w:val="0"/>
          <w:sz w:val="24"/>
          <w:szCs w:val="24"/>
        </w:rPr>
        <w:t xml:space="preserve">Standardized serial neurological examinations were performed off sedation throughout each day.  Clinical deterioration from delayed cerebral ischemia (DCI) was treated with hypertensive </w:t>
      </w:r>
      <w:proofErr w:type="spellStart"/>
      <w:r w:rsidRPr="00AA71F8">
        <w:rPr>
          <w:rFonts w:ascii="Times New Roman" w:hAnsi="Times New Roman" w:cs="Times New Roman"/>
          <w:spacing w:val="0"/>
          <w:sz w:val="24"/>
          <w:szCs w:val="24"/>
        </w:rPr>
        <w:t>hypervolemic</w:t>
      </w:r>
      <w:proofErr w:type="spellEnd"/>
      <w:r w:rsidRPr="00AA71F8">
        <w:rPr>
          <w:rFonts w:ascii="Times New Roman" w:hAnsi="Times New Roman" w:cs="Times New Roman"/>
          <w:spacing w:val="0"/>
          <w:sz w:val="24"/>
          <w:szCs w:val="24"/>
        </w:rPr>
        <w:t xml:space="preserve"> therapy (HHT) to maintain systolic blood pressure (SBP) between 160-220 mm Hg, as required to reverse the neurological deficit. </w:t>
      </w:r>
      <w:r w:rsidR="00DA3369">
        <w:rPr>
          <w:rFonts w:ascii="Times New Roman" w:hAnsi="Times New Roman" w:cs="Times New Roman"/>
          <w:spacing w:val="0"/>
          <w:sz w:val="24"/>
          <w:szCs w:val="24"/>
        </w:rPr>
        <w:t xml:space="preserve">  In 2006 we switched the first line vasopressor of choice from phenylephrine to norepinephrine, and switched our threshold for blood transfusion in the absence of DCI from 9 to 7 mg/</w:t>
      </w:r>
      <w:proofErr w:type="spellStart"/>
      <w:r w:rsidR="00DA3369">
        <w:rPr>
          <w:rFonts w:ascii="Times New Roman" w:hAnsi="Times New Roman" w:cs="Times New Roman"/>
          <w:spacing w:val="0"/>
          <w:sz w:val="24"/>
          <w:szCs w:val="24"/>
        </w:rPr>
        <w:t>dL</w:t>
      </w:r>
      <w:proofErr w:type="spellEnd"/>
      <w:r w:rsidR="00DA3369">
        <w:rPr>
          <w:rFonts w:ascii="Times New Roman" w:hAnsi="Times New Roman" w:cs="Times New Roman"/>
          <w:spacing w:val="0"/>
          <w:sz w:val="24"/>
          <w:szCs w:val="24"/>
        </w:rPr>
        <w:t xml:space="preserve"> of hemoglobin.  </w:t>
      </w:r>
      <w:r w:rsidRPr="00AA71F8">
        <w:rPr>
          <w:rFonts w:ascii="Times New Roman" w:hAnsi="Times New Roman" w:cs="Times New Roman"/>
          <w:spacing w:val="0"/>
          <w:sz w:val="24"/>
          <w:szCs w:val="24"/>
        </w:rPr>
        <w:t xml:space="preserve">When clinical evidence of DCI persisted for more than 2 hours despite HHT, cerebral angiography was used to identify vasospasm and balloon angioplasty or intra-arterial verapamil administration was performed whenever feasible.  Head CT scans were performed on an as-needed basis for clinical purposes only; prearranged routine serial CT scans were not performed. </w:t>
      </w:r>
      <w:r w:rsidR="00C80983">
        <w:rPr>
          <w:rFonts w:ascii="Times New Roman" w:hAnsi="Times New Roman" w:cs="Times New Roman"/>
          <w:spacing w:val="0"/>
          <w:sz w:val="24"/>
          <w:szCs w:val="24"/>
        </w:rPr>
        <w:t xml:space="preserve"> </w:t>
      </w:r>
      <w:proofErr w:type="spellStart"/>
      <w:proofErr w:type="gramStart"/>
      <w:r w:rsidR="00F14663">
        <w:rPr>
          <w:rFonts w:ascii="Times New Roman" w:hAnsi="Times New Roman" w:cs="Times New Roman"/>
          <w:spacing w:val="0"/>
          <w:sz w:val="24"/>
          <w:szCs w:val="24"/>
        </w:rPr>
        <w:t>cEEG</w:t>
      </w:r>
      <w:proofErr w:type="spellEnd"/>
      <w:proofErr w:type="gramEnd"/>
      <w:r w:rsidR="00F14663">
        <w:rPr>
          <w:rFonts w:ascii="Times New Roman" w:hAnsi="Times New Roman" w:cs="Times New Roman"/>
          <w:spacing w:val="0"/>
          <w:sz w:val="24"/>
          <w:szCs w:val="24"/>
        </w:rPr>
        <w:t xml:space="preserve"> monitoring for all cases of unexplained </w:t>
      </w:r>
      <w:proofErr w:type="spellStart"/>
      <w:r w:rsidR="00F14663">
        <w:rPr>
          <w:rFonts w:ascii="Times New Roman" w:hAnsi="Times New Roman" w:cs="Times New Roman"/>
          <w:spacing w:val="0"/>
          <w:sz w:val="24"/>
          <w:szCs w:val="24"/>
        </w:rPr>
        <w:t>neuroworsening</w:t>
      </w:r>
      <w:proofErr w:type="spellEnd"/>
      <w:r w:rsidR="00F14663">
        <w:rPr>
          <w:rFonts w:ascii="Times New Roman" w:hAnsi="Times New Roman" w:cs="Times New Roman"/>
          <w:spacing w:val="0"/>
          <w:sz w:val="24"/>
          <w:szCs w:val="24"/>
        </w:rPr>
        <w:t xml:space="preserve">, and in all comatose poor grade patients, was performed routinely throughout the study period.  </w:t>
      </w:r>
      <w:r w:rsidR="00C80983">
        <w:rPr>
          <w:rFonts w:ascii="Times New Roman" w:hAnsi="Times New Roman" w:cs="Times New Roman"/>
          <w:spacing w:val="0"/>
          <w:sz w:val="24"/>
          <w:szCs w:val="24"/>
        </w:rPr>
        <w:t>Star</w:t>
      </w:r>
      <w:r w:rsidR="00F14663">
        <w:rPr>
          <w:rFonts w:ascii="Times New Roman" w:hAnsi="Times New Roman" w:cs="Times New Roman"/>
          <w:spacing w:val="0"/>
          <w:sz w:val="24"/>
          <w:szCs w:val="24"/>
        </w:rPr>
        <w:t>t</w:t>
      </w:r>
      <w:r w:rsidR="00C80983">
        <w:rPr>
          <w:rFonts w:ascii="Times New Roman" w:hAnsi="Times New Roman" w:cs="Times New Roman"/>
          <w:spacing w:val="0"/>
          <w:sz w:val="24"/>
          <w:szCs w:val="24"/>
        </w:rPr>
        <w:t xml:space="preserve">ing in 2006 we initiated a multimodality brain monitoring protocol for all poor grade (Hunt-Hess 4 and 5) patients, progressively adding </w:t>
      </w:r>
      <w:r w:rsidR="00F14663">
        <w:rPr>
          <w:rFonts w:ascii="Times New Roman" w:hAnsi="Times New Roman" w:cs="Times New Roman"/>
          <w:spacing w:val="0"/>
          <w:sz w:val="24"/>
          <w:szCs w:val="24"/>
        </w:rPr>
        <w:t xml:space="preserve">brain tissue oxygen, </w:t>
      </w:r>
      <w:proofErr w:type="spellStart"/>
      <w:r w:rsidR="00F14663">
        <w:rPr>
          <w:rFonts w:ascii="Times New Roman" w:hAnsi="Times New Roman" w:cs="Times New Roman"/>
          <w:spacing w:val="0"/>
          <w:sz w:val="24"/>
          <w:szCs w:val="24"/>
        </w:rPr>
        <w:t>microdialysis</w:t>
      </w:r>
      <w:proofErr w:type="spellEnd"/>
      <w:r w:rsidR="00F14663">
        <w:rPr>
          <w:rFonts w:ascii="Times New Roman" w:hAnsi="Times New Roman" w:cs="Times New Roman"/>
          <w:spacing w:val="0"/>
          <w:sz w:val="24"/>
          <w:szCs w:val="24"/>
        </w:rPr>
        <w:t xml:space="preserve">, </w:t>
      </w:r>
      <w:proofErr w:type="spellStart"/>
      <w:r w:rsidR="00F14663">
        <w:rPr>
          <w:rFonts w:ascii="Times New Roman" w:hAnsi="Times New Roman" w:cs="Times New Roman"/>
          <w:spacing w:val="0"/>
          <w:sz w:val="24"/>
          <w:szCs w:val="24"/>
        </w:rPr>
        <w:t>Hemedex</w:t>
      </w:r>
      <w:proofErr w:type="spellEnd"/>
      <w:r w:rsidR="00F14663">
        <w:rPr>
          <w:rFonts w:ascii="Times New Roman" w:hAnsi="Times New Roman" w:cs="Times New Roman"/>
          <w:spacing w:val="0"/>
          <w:sz w:val="24"/>
          <w:szCs w:val="24"/>
        </w:rPr>
        <w:t xml:space="preserve"> CBF, and EEG depth electrode monitoring to our standard montage between 2006 and 2009.  </w:t>
      </w:r>
      <w:r w:rsidR="00C5643C">
        <w:rPr>
          <w:rFonts w:ascii="Times New Roman" w:hAnsi="Times New Roman" w:cs="Times New Roman"/>
          <w:spacing w:val="0"/>
          <w:sz w:val="24"/>
          <w:szCs w:val="24"/>
        </w:rPr>
        <w:t>MMM was used to detect worsening and trigger scanning and intervention in brain metabolic or electrical state, and to optimize CPP</w:t>
      </w:r>
      <w:r w:rsidR="00104C72">
        <w:rPr>
          <w:rFonts w:ascii="Times New Roman" w:hAnsi="Times New Roman" w:cs="Times New Roman"/>
          <w:spacing w:val="0"/>
          <w:sz w:val="24"/>
          <w:szCs w:val="24"/>
        </w:rPr>
        <w:t xml:space="preserve">, ETCO2, temperature and sedation.   </w:t>
      </w:r>
      <w:r w:rsidR="00356456">
        <w:rPr>
          <w:rFonts w:ascii="Times New Roman" w:hAnsi="Times New Roman" w:cs="Times New Roman"/>
          <w:spacing w:val="0"/>
          <w:sz w:val="24"/>
          <w:szCs w:val="24"/>
        </w:rPr>
        <w:t xml:space="preserve">We instituted hypothermia as a standard measure for </w:t>
      </w:r>
      <w:r w:rsidR="00674289">
        <w:rPr>
          <w:rFonts w:ascii="Times New Roman" w:hAnsi="Times New Roman" w:cs="Times New Roman"/>
          <w:spacing w:val="0"/>
          <w:sz w:val="24"/>
          <w:szCs w:val="24"/>
        </w:rPr>
        <w:t>medically-</w:t>
      </w:r>
      <w:r w:rsidR="00356456">
        <w:rPr>
          <w:rFonts w:ascii="Times New Roman" w:hAnsi="Times New Roman" w:cs="Times New Roman"/>
          <w:spacing w:val="0"/>
          <w:sz w:val="24"/>
          <w:szCs w:val="24"/>
        </w:rPr>
        <w:t xml:space="preserve">refractory ICP in </w:t>
      </w:r>
      <w:proofErr w:type="gramStart"/>
      <w:r w:rsidR="00356456">
        <w:rPr>
          <w:rFonts w:ascii="Times New Roman" w:hAnsi="Times New Roman" w:cs="Times New Roman"/>
          <w:spacing w:val="0"/>
          <w:sz w:val="24"/>
          <w:szCs w:val="24"/>
        </w:rPr>
        <w:t>2007,</w:t>
      </w:r>
      <w:proofErr w:type="gramEnd"/>
      <w:r w:rsidR="00356456">
        <w:rPr>
          <w:rFonts w:ascii="Times New Roman" w:hAnsi="Times New Roman" w:cs="Times New Roman"/>
          <w:spacing w:val="0"/>
          <w:sz w:val="24"/>
          <w:szCs w:val="24"/>
        </w:rPr>
        <w:t xml:space="preserve"> and intra-arterial </w:t>
      </w:r>
      <w:proofErr w:type="spellStart"/>
      <w:r w:rsidR="00674289">
        <w:rPr>
          <w:rFonts w:ascii="Times New Roman" w:hAnsi="Times New Roman" w:cs="Times New Roman"/>
          <w:spacing w:val="0"/>
          <w:sz w:val="24"/>
          <w:szCs w:val="24"/>
        </w:rPr>
        <w:t>nicardipine</w:t>
      </w:r>
      <w:proofErr w:type="spellEnd"/>
      <w:r w:rsidR="00356456">
        <w:rPr>
          <w:rFonts w:ascii="Times New Roman" w:hAnsi="Times New Roman" w:cs="Times New Roman"/>
          <w:spacing w:val="0"/>
          <w:sz w:val="24"/>
          <w:szCs w:val="24"/>
        </w:rPr>
        <w:t xml:space="preserve"> as rescue therapy for refractory vasospasm in</w:t>
      </w:r>
      <w:r w:rsidR="00674289">
        <w:rPr>
          <w:rFonts w:ascii="Times New Roman" w:hAnsi="Times New Roman" w:cs="Times New Roman"/>
          <w:spacing w:val="0"/>
          <w:sz w:val="24"/>
          <w:szCs w:val="24"/>
        </w:rPr>
        <w:t xml:space="preserve"> 2008.</w:t>
      </w:r>
    </w:p>
    <w:p w:rsidR="00356456" w:rsidRPr="00DA3369" w:rsidRDefault="00356456" w:rsidP="00655264">
      <w:pPr>
        <w:spacing w:after="0" w:line="480" w:lineRule="auto"/>
        <w:ind w:firstLine="720"/>
        <w:rPr>
          <w:rFonts w:ascii="Times New Roman" w:hAnsi="Times New Roman" w:cs="Times New Roman"/>
          <w:spacing w:val="0"/>
          <w:sz w:val="24"/>
          <w:szCs w:val="24"/>
        </w:rPr>
      </w:pPr>
    </w:p>
    <w:sectPr w:rsidR="00356456" w:rsidRPr="00DA3369" w:rsidSect="00AA71F8">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Lucida Grande">
    <w:altName w:val="Arial"/>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AA71F8"/>
    <w:rsid w:val="00104C72"/>
    <w:rsid w:val="00142C98"/>
    <w:rsid w:val="00356456"/>
    <w:rsid w:val="0044529D"/>
    <w:rsid w:val="004D1B2F"/>
    <w:rsid w:val="004F39A6"/>
    <w:rsid w:val="00655264"/>
    <w:rsid w:val="00674289"/>
    <w:rsid w:val="006A49CF"/>
    <w:rsid w:val="00AA71F8"/>
    <w:rsid w:val="00B17D24"/>
    <w:rsid w:val="00B61E40"/>
    <w:rsid w:val="00BA54A6"/>
    <w:rsid w:val="00C5643C"/>
    <w:rsid w:val="00C76583"/>
    <w:rsid w:val="00C80983"/>
    <w:rsid w:val="00DA3369"/>
    <w:rsid w:val="00DD1F66"/>
    <w:rsid w:val="00F14663"/>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Arial"/>
        <w:spacing w:val="10"/>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9A6"/>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529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529D"/>
    <w:rPr>
      <w:rFonts w:ascii="Lucida Grande" w:eastAsiaTheme="minorHAnsi"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Arial"/>
        <w:spacing w:val="10"/>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529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529D"/>
    <w:rPr>
      <w:rFonts w:ascii="Lucida Grande" w:eastAsiaTheme="minorHAnsi" w:hAnsi="Lucida Grande" w:cs="Lucida Grande"/>
      <w:sz w:val="18"/>
      <w:szCs w:val="18"/>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3385</Characters>
  <Application>Microsoft Office Word</Application>
  <DocSecurity>0</DocSecurity>
  <Lines>28</Lines>
  <Paragraphs>7</Paragraphs>
  <ScaleCrop>false</ScaleCrop>
  <Company>Columbia University</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Mayer</dc:creator>
  <cp:keywords/>
  <dc:description/>
  <cp:lastModifiedBy>dbalinda</cp:lastModifiedBy>
  <cp:revision>4</cp:revision>
  <dcterms:created xsi:type="dcterms:W3CDTF">2015-07-21T21:04:00Z</dcterms:created>
  <dcterms:modified xsi:type="dcterms:W3CDTF">2015-08-17T16:04:00Z</dcterms:modified>
</cp:coreProperties>
</file>