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54F" w:rsidRPr="007154FC" w:rsidRDefault="00A2254F" w:rsidP="00A2254F">
      <w:pPr>
        <w:tabs>
          <w:tab w:val="left" w:pos="540"/>
        </w:tabs>
        <w:ind w:left="0" w:firstLine="0"/>
        <w:rPr>
          <w:rFonts w:cs="Arial"/>
        </w:rPr>
      </w:pPr>
    </w:p>
    <w:tbl>
      <w:tblPr>
        <w:tblW w:w="14325" w:type="dxa"/>
        <w:tblInd w:w="-675" w:type="dxa"/>
        <w:tblLayout w:type="fixed"/>
        <w:tblLook w:val="04A0"/>
      </w:tblPr>
      <w:tblGrid>
        <w:gridCol w:w="1635"/>
        <w:gridCol w:w="138"/>
        <w:gridCol w:w="1932"/>
        <w:gridCol w:w="5130"/>
        <w:gridCol w:w="2970"/>
        <w:gridCol w:w="2520"/>
      </w:tblGrid>
      <w:tr w:rsidR="00A2254F" w:rsidRPr="007154FC" w:rsidTr="007B2886">
        <w:trPr>
          <w:trHeight w:val="450"/>
        </w:trPr>
        <w:tc>
          <w:tcPr>
            <w:tcW w:w="14325" w:type="dxa"/>
            <w:gridSpan w:val="6"/>
            <w:tcBorders>
              <w:top w:val="nil"/>
              <w:left w:val="nil"/>
              <w:bottom w:val="single" w:sz="4" w:space="0" w:color="auto"/>
              <w:right w:val="nil"/>
            </w:tcBorders>
            <w:shd w:val="clear" w:color="auto" w:fill="auto"/>
          </w:tcPr>
          <w:p w:rsidR="00A2254F" w:rsidRPr="007154FC" w:rsidRDefault="00A2254F" w:rsidP="007B2886">
            <w:pPr>
              <w:tabs>
                <w:tab w:val="left" w:pos="540"/>
              </w:tabs>
              <w:ind w:left="0" w:firstLine="0"/>
              <w:rPr>
                <w:rFonts w:cs="Arial"/>
                <w:b/>
                <w:sz w:val="24"/>
              </w:rPr>
            </w:pPr>
            <w:r>
              <w:rPr>
                <w:rFonts w:cs="Arial"/>
                <w:b/>
                <w:sz w:val="24"/>
              </w:rPr>
              <w:t>Table</w:t>
            </w:r>
            <w:r w:rsidR="00B67FBD">
              <w:rPr>
                <w:rFonts w:cs="Arial"/>
                <w:b/>
                <w:sz w:val="24"/>
              </w:rPr>
              <w:t xml:space="preserve"> S</w:t>
            </w:r>
            <w:r w:rsidR="00B67FBD" w:rsidRPr="007154FC">
              <w:rPr>
                <w:rFonts w:cs="Arial"/>
                <w:b/>
                <w:sz w:val="24"/>
              </w:rPr>
              <w:t>2</w:t>
            </w:r>
            <w:r w:rsidRPr="007154FC">
              <w:rPr>
                <w:rFonts w:cs="Arial"/>
                <w:b/>
                <w:sz w:val="24"/>
              </w:rPr>
              <w:t xml:space="preserve">. </w:t>
            </w:r>
            <w:r w:rsidRPr="007154FC">
              <w:rPr>
                <w:rFonts w:cs="Arial"/>
                <w:sz w:val="24"/>
              </w:rPr>
              <w:t>Summary of clinical outcomes definitions and criteria</w:t>
            </w:r>
          </w:p>
          <w:p w:rsidR="00A2254F" w:rsidRPr="007154FC" w:rsidRDefault="00A2254F" w:rsidP="007B2886">
            <w:pPr>
              <w:ind w:left="0" w:firstLine="0"/>
              <w:rPr>
                <w:rFonts w:eastAsia="Times New Roman" w:cs="Arial"/>
                <w:b/>
                <w:bCs/>
                <w:color w:val="000000"/>
                <w:sz w:val="20"/>
                <w:szCs w:val="20"/>
              </w:rPr>
            </w:pPr>
          </w:p>
        </w:tc>
      </w:tr>
      <w:tr w:rsidR="00A2254F" w:rsidRPr="007154FC" w:rsidTr="007B2886">
        <w:trPr>
          <w:trHeight w:val="450"/>
        </w:trPr>
        <w:tc>
          <w:tcPr>
            <w:tcW w:w="3705" w:type="dxa"/>
            <w:gridSpan w:val="3"/>
            <w:tcBorders>
              <w:top w:val="single" w:sz="4" w:space="0" w:color="auto"/>
              <w:left w:val="nil"/>
              <w:bottom w:val="single" w:sz="4" w:space="0" w:color="auto"/>
              <w:right w:val="nil"/>
            </w:tcBorders>
            <w:shd w:val="clear" w:color="auto" w:fill="D9D9D9" w:themeFill="background1" w:themeFillShade="D9"/>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Clinical Outcome</w:t>
            </w:r>
          </w:p>
        </w:tc>
        <w:tc>
          <w:tcPr>
            <w:tcW w:w="5130" w:type="dxa"/>
            <w:tcBorders>
              <w:top w:val="single" w:sz="4" w:space="0" w:color="auto"/>
              <w:left w:val="nil"/>
              <w:bottom w:val="single" w:sz="4" w:space="0" w:color="auto"/>
              <w:right w:val="nil"/>
            </w:tcBorders>
            <w:shd w:val="clear" w:color="auto" w:fill="D9D9D9" w:themeFill="background1" w:themeFillShade="D9"/>
            <w:vAlign w:val="center"/>
          </w:tcPr>
          <w:p w:rsidR="00A2254F" w:rsidRPr="007154FC" w:rsidRDefault="00A2254F" w:rsidP="007B2886">
            <w:pPr>
              <w:ind w:left="0" w:firstLine="0"/>
              <w:rPr>
                <w:rFonts w:eastAsia="Times New Roman" w:cs="Arial"/>
                <w:b/>
                <w:bCs/>
                <w:color w:val="000000"/>
                <w:sz w:val="20"/>
                <w:szCs w:val="20"/>
              </w:rPr>
            </w:pPr>
          </w:p>
        </w:tc>
        <w:tc>
          <w:tcPr>
            <w:tcW w:w="2970" w:type="dxa"/>
            <w:tcBorders>
              <w:top w:val="single" w:sz="4" w:space="0" w:color="auto"/>
              <w:left w:val="nil"/>
              <w:bottom w:val="single" w:sz="4" w:space="0" w:color="auto"/>
              <w:right w:val="nil"/>
            </w:tcBorders>
            <w:shd w:val="clear" w:color="auto" w:fill="D9D9D9" w:themeFill="background1" w:themeFillShade="D9"/>
            <w:vAlign w:val="center"/>
          </w:tcPr>
          <w:p w:rsidR="00A2254F" w:rsidRPr="007154FC" w:rsidRDefault="00A2254F" w:rsidP="007B2886">
            <w:pPr>
              <w:ind w:left="0" w:firstLine="0"/>
              <w:rPr>
                <w:rFonts w:eastAsia="Times New Roman" w:cs="Arial"/>
                <w:b/>
                <w:bCs/>
                <w:color w:val="000000"/>
                <w:sz w:val="20"/>
                <w:szCs w:val="20"/>
              </w:rPr>
            </w:pPr>
          </w:p>
        </w:tc>
        <w:tc>
          <w:tcPr>
            <w:tcW w:w="2520" w:type="dxa"/>
            <w:tcBorders>
              <w:top w:val="single" w:sz="4" w:space="0" w:color="auto"/>
              <w:left w:val="nil"/>
              <w:bottom w:val="single" w:sz="4" w:space="0" w:color="auto"/>
              <w:right w:val="nil"/>
            </w:tcBorders>
            <w:shd w:val="clear" w:color="auto" w:fill="D9D9D9" w:themeFill="background1" w:themeFillShade="D9"/>
            <w:vAlign w:val="center"/>
          </w:tcPr>
          <w:p w:rsidR="00A2254F" w:rsidRPr="007154FC" w:rsidRDefault="00A2254F" w:rsidP="007B2886">
            <w:pPr>
              <w:ind w:left="0" w:firstLine="0"/>
              <w:rPr>
                <w:rFonts w:eastAsia="Times New Roman" w:cs="Arial"/>
                <w:b/>
                <w:bCs/>
                <w:color w:val="000000"/>
                <w:sz w:val="20"/>
                <w:szCs w:val="20"/>
              </w:rPr>
            </w:pPr>
          </w:p>
        </w:tc>
      </w:tr>
      <w:tr w:rsidR="00A2254F" w:rsidRPr="007154FC" w:rsidTr="007B2886">
        <w:trPr>
          <w:trHeight w:val="450"/>
        </w:trPr>
        <w:tc>
          <w:tcPr>
            <w:tcW w:w="1773" w:type="dxa"/>
            <w:gridSpan w:val="2"/>
            <w:tcBorders>
              <w:top w:val="single" w:sz="4" w:space="0" w:color="auto"/>
              <w:left w:val="nil"/>
              <w:bottom w:val="single" w:sz="4" w:space="0" w:color="auto"/>
              <w:right w:val="nil"/>
            </w:tcBorders>
            <w:shd w:val="clear" w:color="auto" w:fill="auto"/>
            <w:vAlign w:val="bottom"/>
            <w:hideMark/>
          </w:tcPr>
          <w:p w:rsidR="00A2254F" w:rsidRPr="007154FC" w:rsidRDefault="00A2254F" w:rsidP="007B2886">
            <w:pPr>
              <w:ind w:left="0" w:firstLine="0"/>
              <w:rPr>
                <w:rFonts w:eastAsia="Times New Roman" w:cs="Arial"/>
                <w:color w:val="000000"/>
                <w:sz w:val="20"/>
                <w:szCs w:val="20"/>
              </w:rPr>
            </w:pPr>
          </w:p>
        </w:tc>
        <w:tc>
          <w:tcPr>
            <w:tcW w:w="12552" w:type="dxa"/>
            <w:gridSpan w:val="4"/>
            <w:tcBorders>
              <w:top w:val="single" w:sz="4" w:space="0" w:color="auto"/>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Timing: Unless otherwise noted, outcomes were analyzed from day of SIRS qualification through patient hospital discharge</w:t>
            </w:r>
          </w:p>
        </w:tc>
      </w:tr>
      <w:tr w:rsidR="00A2254F" w:rsidRPr="007154FC" w:rsidTr="007B2886">
        <w:trPr>
          <w:trHeight w:val="510"/>
        </w:trPr>
        <w:tc>
          <w:tcPr>
            <w:tcW w:w="1773" w:type="dxa"/>
            <w:gridSpan w:val="2"/>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Cardiac Complications</w:t>
            </w:r>
          </w:p>
        </w:tc>
        <w:tc>
          <w:tcPr>
            <w:tcW w:w="1932"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97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r>
      <w:tr w:rsidR="00A2254F" w:rsidRPr="007154FC" w:rsidTr="007B2886">
        <w:trPr>
          <w:trHeight w:val="603"/>
        </w:trPr>
        <w:tc>
          <w:tcPr>
            <w:tcW w:w="1773" w:type="dxa"/>
            <w:gridSpan w:val="2"/>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1932"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Dysrhythmia</w:t>
            </w:r>
          </w:p>
        </w:tc>
        <w:tc>
          <w:tcPr>
            <w:tcW w:w="5130"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IV infusion of anti-</w:t>
            </w:r>
            <w:proofErr w:type="spellStart"/>
            <w:r w:rsidRPr="007154FC">
              <w:rPr>
                <w:rFonts w:eastAsia="Times New Roman" w:cs="Arial"/>
                <w:color w:val="000000"/>
                <w:sz w:val="20"/>
                <w:szCs w:val="20"/>
              </w:rPr>
              <w:t>arrhythmics</w:t>
            </w:r>
            <w:proofErr w:type="spellEnd"/>
            <w:r w:rsidRPr="007154FC">
              <w:rPr>
                <w:rFonts w:eastAsia="Times New Roman" w:cs="Arial"/>
                <w:color w:val="000000"/>
                <w:sz w:val="20"/>
                <w:szCs w:val="20"/>
              </w:rPr>
              <w:t xml:space="preserve"> (e.g. </w:t>
            </w:r>
            <w:proofErr w:type="spellStart"/>
            <w:r w:rsidRPr="007154FC">
              <w:rPr>
                <w:rFonts w:eastAsia="Times New Roman" w:cs="Arial"/>
                <w:color w:val="000000"/>
                <w:sz w:val="20"/>
                <w:szCs w:val="20"/>
              </w:rPr>
              <w:t>amiodarone</w:t>
            </w:r>
            <w:proofErr w:type="spellEnd"/>
            <w:r w:rsidRPr="007154FC">
              <w:rPr>
                <w:rFonts w:eastAsia="Times New Roman" w:cs="Arial"/>
                <w:color w:val="000000"/>
                <w:sz w:val="20"/>
                <w:szCs w:val="20"/>
              </w:rPr>
              <w:t xml:space="preserve">, </w:t>
            </w:r>
            <w:proofErr w:type="spellStart"/>
            <w:r w:rsidRPr="007154FC">
              <w:rPr>
                <w:rFonts w:eastAsia="Times New Roman" w:cs="Arial"/>
                <w:color w:val="000000"/>
                <w:sz w:val="20"/>
                <w:szCs w:val="20"/>
              </w:rPr>
              <w:t>diltiazem</w:t>
            </w:r>
            <w:proofErr w:type="spellEnd"/>
            <w:r w:rsidRPr="007154FC">
              <w:rPr>
                <w:rFonts w:eastAsia="Times New Roman" w:cs="Arial"/>
                <w:color w:val="000000"/>
                <w:sz w:val="20"/>
                <w:szCs w:val="20"/>
              </w:rPr>
              <w:t xml:space="preserve">, </w:t>
            </w:r>
            <w:proofErr w:type="spellStart"/>
            <w:r w:rsidRPr="007154FC">
              <w:rPr>
                <w:rFonts w:eastAsia="Times New Roman" w:cs="Arial"/>
                <w:color w:val="000000"/>
                <w:sz w:val="20"/>
                <w:szCs w:val="20"/>
              </w:rPr>
              <w:t>esmolol</w:t>
            </w:r>
            <w:proofErr w:type="spellEnd"/>
            <w:r w:rsidRPr="007154FC">
              <w:rPr>
                <w:rFonts w:eastAsia="Times New Roman" w:cs="Arial"/>
                <w:color w:val="000000"/>
                <w:sz w:val="20"/>
                <w:szCs w:val="20"/>
              </w:rPr>
              <w:t xml:space="preserve">, </w:t>
            </w:r>
            <w:proofErr w:type="spellStart"/>
            <w:r w:rsidRPr="007154FC">
              <w:rPr>
                <w:rFonts w:eastAsia="Times New Roman" w:cs="Arial"/>
                <w:color w:val="000000"/>
                <w:sz w:val="20"/>
                <w:szCs w:val="20"/>
              </w:rPr>
              <w:t>metoprolol</w:t>
            </w:r>
            <w:proofErr w:type="spellEnd"/>
            <w:r w:rsidRPr="007154FC">
              <w:rPr>
                <w:rFonts w:eastAsia="Times New Roman" w:cs="Arial"/>
                <w:color w:val="000000"/>
                <w:sz w:val="20"/>
                <w:szCs w:val="20"/>
              </w:rPr>
              <w:t xml:space="preserve">, </w:t>
            </w:r>
            <w:proofErr w:type="spellStart"/>
            <w:r w:rsidRPr="007154FC">
              <w:rPr>
                <w:rFonts w:eastAsia="Times New Roman" w:cs="Arial"/>
                <w:color w:val="000000"/>
                <w:sz w:val="20"/>
                <w:szCs w:val="20"/>
              </w:rPr>
              <w:t>labetolol</w:t>
            </w:r>
            <w:proofErr w:type="spellEnd"/>
            <w:r w:rsidRPr="007154FC">
              <w:rPr>
                <w:rFonts w:eastAsia="Times New Roman" w:cs="Arial"/>
                <w:color w:val="000000"/>
                <w:sz w:val="20"/>
                <w:szCs w:val="20"/>
              </w:rPr>
              <w:t xml:space="preserve">, </w:t>
            </w:r>
            <w:proofErr w:type="spellStart"/>
            <w:r w:rsidRPr="007154FC">
              <w:rPr>
                <w:rFonts w:eastAsia="Times New Roman" w:cs="Arial"/>
                <w:color w:val="000000"/>
                <w:sz w:val="20"/>
                <w:szCs w:val="20"/>
              </w:rPr>
              <w:t>digoxin</w:t>
            </w:r>
            <w:proofErr w:type="spellEnd"/>
            <w:r>
              <w:rPr>
                <w:rFonts w:eastAsia="Times New Roman" w:cs="Arial"/>
                <w:color w:val="000000"/>
                <w:sz w:val="20"/>
                <w:szCs w:val="20"/>
              </w:rPr>
              <w:t>,</w:t>
            </w:r>
            <w:r w:rsidRPr="007154FC">
              <w:rPr>
                <w:rFonts w:eastAsia="Times New Roman" w:cs="Arial"/>
                <w:color w:val="000000"/>
                <w:sz w:val="20"/>
                <w:szCs w:val="20"/>
              </w:rPr>
              <w:t xml:space="preserve"> etc) on the day of SIRS qualifying event through the following 3 days</w:t>
            </w:r>
          </w:p>
        </w:tc>
        <w:tc>
          <w:tcPr>
            <w:tcW w:w="2970"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510"/>
        </w:trPr>
        <w:tc>
          <w:tcPr>
            <w:tcW w:w="1773" w:type="dxa"/>
            <w:gridSpan w:val="2"/>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1932"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Cardiac stress</w:t>
            </w:r>
          </w:p>
        </w:tc>
        <w:tc>
          <w:tcPr>
            <w:tcW w:w="5130"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Abnormal troponin I or T test result flag within database</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1275"/>
        </w:trPr>
        <w:tc>
          <w:tcPr>
            <w:tcW w:w="1773" w:type="dxa"/>
            <w:gridSpan w:val="2"/>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 </w:t>
            </w:r>
          </w:p>
        </w:tc>
        <w:tc>
          <w:tcPr>
            <w:tcW w:w="1932" w:type="dxa"/>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Heart failure (BNP and diuretics)</w:t>
            </w: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Order for ECHO OR BNP test result &gt;600 combined with diuretic ordered same day as test through 3 days </w:t>
            </w:r>
          </w:p>
        </w:tc>
        <w:tc>
          <w:tcPr>
            <w:tcW w:w="297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w:t>
            </w:r>
          </w:p>
        </w:tc>
      </w:tr>
      <w:tr w:rsidR="00A2254F" w:rsidRPr="007154FC" w:rsidTr="007B2886">
        <w:trPr>
          <w:trHeight w:val="510"/>
        </w:trPr>
        <w:tc>
          <w:tcPr>
            <w:tcW w:w="1773"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1932"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Heart failure (SOFA)</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SOFA cardiovascular scores</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55"/>
        </w:trPr>
        <w:tc>
          <w:tcPr>
            <w:tcW w:w="1773" w:type="dxa"/>
            <w:gridSpan w:val="2"/>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Respiratory</w:t>
            </w:r>
          </w:p>
        </w:tc>
        <w:tc>
          <w:tcPr>
            <w:tcW w:w="1932"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040"/>
        </w:trPr>
        <w:tc>
          <w:tcPr>
            <w:tcW w:w="1773"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1932"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Respiratory failure</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SOFA pulmonary scores</w:t>
            </w:r>
            <w:r w:rsidRPr="007154FC">
              <w:rPr>
                <w:rFonts w:eastAsia="Times New Roman" w:cs="Arial"/>
                <w:color w:val="000000"/>
                <w:sz w:val="20"/>
                <w:szCs w:val="20"/>
                <w:vertAlign w:val="superscript"/>
              </w:rPr>
              <w:t>2</w:t>
            </w:r>
            <w:r w:rsidRPr="007154FC">
              <w:rPr>
                <w:rFonts w:eastAsia="Times New Roman" w:cs="Arial"/>
                <w:color w:val="000000"/>
                <w:sz w:val="20"/>
                <w:szCs w:val="20"/>
              </w:rPr>
              <w:t xml:space="preserve"> restricted to patients who had arterial blood gas measurements. Stages 3 &amp; 4 require respiratory support as determined by ventilator procedure codes (from administrative outcome) or presence of values for characteristics indicative of ventilator use such as tidal volume, maximum pressure, maximal (or peak) inspiratory pressure, or ventilator alarm settings</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55"/>
        </w:trPr>
        <w:tc>
          <w:tcPr>
            <w:tcW w:w="1773" w:type="dxa"/>
            <w:gridSpan w:val="2"/>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Gastrointestinal</w:t>
            </w:r>
          </w:p>
        </w:tc>
        <w:tc>
          <w:tcPr>
            <w:tcW w:w="1932" w:type="dxa"/>
            <w:tcBorders>
              <w:top w:val="single" w:sz="4" w:space="0" w:color="auto"/>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w:t>
            </w: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55"/>
        </w:trPr>
        <w:tc>
          <w:tcPr>
            <w:tcW w:w="1773" w:type="dxa"/>
            <w:gridSpan w:val="2"/>
            <w:tcBorders>
              <w:top w:val="nil"/>
              <w:left w:val="nil"/>
              <w:right w:val="nil"/>
            </w:tcBorders>
            <w:shd w:val="clear" w:color="auto" w:fill="auto"/>
            <w:vAlign w:val="center"/>
            <w:hideMark/>
          </w:tcPr>
          <w:p w:rsidR="00A2254F" w:rsidRDefault="00A2254F" w:rsidP="007B2886">
            <w:pPr>
              <w:ind w:left="0" w:firstLine="0"/>
              <w:rPr>
                <w:rFonts w:eastAsia="Times New Roman" w:cs="Arial"/>
                <w:b/>
                <w:bCs/>
                <w:color w:val="000000"/>
                <w:sz w:val="20"/>
                <w:szCs w:val="20"/>
              </w:rPr>
            </w:pPr>
          </w:p>
          <w:p w:rsidR="00A2254F" w:rsidRDefault="00A2254F" w:rsidP="007B2886">
            <w:pPr>
              <w:ind w:left="0" w:firstLine="0"/>
              <w:rPr>
                <w:rFonts w:eastAsia="Times New Roman" w:cs="Arial"/>
                <w:b/>
                <w:bCs/>
                <w:color w:val="000000"/>
                <w:sz w:val="20"/>
                <w:szCs w:val="20"/>
              </w:rPr>
            </w:pPr>
          </w:p>
          <w:p w:rsidR="00A2254F" w:rsidRDefault="00A2254F" w:rsidP="007B2886">
            <w:pPr>
              <w:ind w:left="0" w:firstLine="0"/>
              <w:rPr>
                <w:rFonts w:eastAsia="Times New Roman" w:cs="Arial"/>
                <w:b/>
                <w:bCs/>
                <w:color w:val="000000"/>
                <w:sz w:val="20"/>
                <w:szCs w:val="20"/>
              </w:rPr>
            </w:pPr>
          </w:p>
          <w:p w:rsidR="00A2254F" w:rsidRPr="007154FC" w:rsidRDefault="00A2254F" w:rsidP="007B2886">
            <w:pPr>
              <w:ind w:left="0" w:firstLine="0"/>
              <w:rPr>
                <w:rFonts w:eastAsia="Times New Roman" w:cs="Arial"/>
                <w:b/>
                <w:bCs/>
                <w:color w:val="000000"/>
                <w:sz w:val="20"/>
                <w:szCs w:val="20"/>
              </w:rPr>
            </w:pPr>
          </w:p>
        </w:tc>
        <w:tc>
          <w:tcPr>
            <w:tcW w:w="1932"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Hepatic function</w:t>
            </w:r>
          </w:p>
          <w:p w:rsidR="00A2254F" w:rsidRPr="007154FC" w:rsidRDefault="00A2254F" w:rsidP="007B2886">
            <w:pPr>
              <w:ind w:left="0" w:firstLine="0"/>
              <w:rPr>
                <w:rFonts w:eastAsia="Times New Roman" w:cs="Arial"/>
                <w:color w:val="000000"/>
                <w:sz w:val="20"/>
                <w:szCs w:val="20"/>
              </w:rPr>
            </w:pPr>
          </w:p>
          <w:p w:rsidR="00A2254F" w:rsidRPr="007154FC" w:rsidRDefault="00A2254F" w:rsidP="007B2886">
            <w:pPr>
              <w:ind w:left="0" w:firstLine="0"/>
              <w:rPr>
                <w:rFonts w:eastAsia="Times New Roman" w:cs="Arial"/>
                <w:color w:val="000000"/>
                <w:sz w:val="20"/>
                <w:szCs w:val="20"/>
              </w:rPr>
            </w:pP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vertAlign w:val="superscript"/>
              </w:rPr>
            </w:pPr>
            <w:r w:rsidRPr="007154FC">
              <w:rPr>
                <w:rFonts w:eastAsia="Times New Roman" w:cs="Arial"/>
                <w:color w:val="000000"/>
                <w:sz w:val="20"/>
                <w:szCs w:val="20"/>
              </w:rPr>
              <w:t>SOFA liver scores</w:t>
            </w:r>
            <w:r w:rsidRPr="007154FC">
              <w:rPr>
                <w:rFonts w:eastAsia="Times New Roman" w:cs="Arial"/>
                <w:color w:val="000000"/>
                <w:sz w:val="20"/>
                <w:szCs w:val="20"/>
                <w:vertAlign w:val="superscript"/>
              </w:rPr>
              <w:t xml:space="preserve">2 </w:t>
            </w:r>
          </w:p>
          <w:p w:rsidR="00A2254F" w:rsidRPr="007154FC" w:rsidRDefault="00A2254F" w:rsidP="007B2886">
            <w:pPr>
              <w:ind w:left="0" w:firstLine="0"/>
              <w:rPr>
                <w:rFonts w:eastAsia="Times New Roman" w:cs="Arial"/>
                <w:color w:val="000000"/>
                <w:sz w:val="20"/>
                <w:szCs w:val="20"/>
                <w:vertAlign w:val="superscript"/>
              </w:rPr>
            </w:pPr>
          </w:p>
          <w:p w:rsidR="00A2254F" w:rsidRPr="007154FC" w:rsidRDefault="00A2254F" w:rsidP="007B2886">
            <w:pPr>
              <w:ind w:left="0" w:firstLine="0"/>
              <w:rPr>
                <w:rFonts w:eastAsia="Times New Roman" w:cs="Arial"/>
                <w:color w:val="000000"/>
                <w:sz w:val="20"/>
                <w:szCs w:val="20"/>
                <w:vertAlign w:val="superscript"/>
              </w:rPr>
            </w:pPr>
          </w:p>
        </w:tc>
        <w:tc>
          <w:tcPr>
            <w:tcW w:w="297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450"/>
        </w:trPr>
        <w:tc>
          <w:tcPr>
            <w:tcW w:w="3705" w:type="dxa"/>
            <w:gridSpan w:val="3"/>
            <w:tcBorders>
              <w:top w:val="single" w:sz="4" w:space="0" w:color="auto"/>
              <w:left w:val="nil"/>
              <w:bottom w:val="single" w:sz="4" w:space="0" w:color="auto"/>
              <w:right w:val="nil"/>
            </w:tcBorders>
            <w:shd w:val="clear" w:color="auto" w:fill="D9D9D9" w:themeFill="background1" w:themeFillShade="D9"/>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Clinical Outcome</w:t>
            </w:r>
          </w:p>
        </w:tc>
        <w:tc>
          <w:tcPr>
            <w:tcW w:w="5130" w:type="dxa"/>
            <w:tcBorders>
              <w:top w:val="single" w:sz="4" w:space="0" w:color="auto"/>
              <w:left w:val="nil"/>
              <w:bottom w:val="single" w:sz="4" w:space="0" w:color="auto"/>
              <w:right w:val="nil"/>
            </w:tcBorders>
            <w:shd w:val="clear" w:color="auto" w:fill="D9D9D9" w:themeFill="background1" w:themeFillShade="D9"/>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Intervention 1</w:t>
            </w:r>
          </w:p>
        </w:tc>
        <w:tc>
          <w:tcPr>
            <w:tcW w:w="2970" w:type="dxa"/>
            <w:tcBorders>
              <w:top w:val="single" w:sz="4" w:space="0" w:color="auto"/>
              <w:left w:val="nil"/>
              <w:bottom w:val="single" w:sz="4" w:space="0" w:color="auto"/>
              <w:right w:val="nil"/>
            </w:tcBorders>
            <w:shd w:val="clear" w:color="auto" w:fill="D9D9D9" w:themeFill="background1" w:themeFillShade="D9"/>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 xml:space="preserve">Intervention 2 </w:t>
            </w:r>
          </w:p>
        </w:tc>
        <w:tc>
          <w:tcPr>
            <w:tcW w:w="2520" w:type="dxa"/>
            <w:tcBorders>
              <w:top w:val="single" w:sz="4" w:space="0" w:color="auto"/>
              <w:left w:val="nil"/>
              <w:bottom w:val="single" w:sz="4" w:space="0" w:color="auto"/>
              <w:right w:val="nil"/>
            </w:tcBorders>
            <w:shd w:val="clear" w:color="auto" w:fill="D9D9D9" w:themeFill="background1" w:themeFillShade="D9"/>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Intervention 3</w:t>
            </w:r>
          </w:p>
        </w:tc>
      </w:tr>
      <w:tr w:rsidR="00A2254F" w:rsidRPr="007154FC" w:rsidTr="007B2886">
        <w:trPr>
          <w:trHeight w:val="765"/>
        </w:trPr>
        <w:tc>
          <w:tcPr>
            <w:tcW w:w="1635" w:type="dxa"/>
            <w:tcBorders>
              <w:top w:val="nil"/>
              <w:left w:val="nil"/>
              <w:bottom w:val="single" w:sz="4" w:space="0" w:color="auto"/>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lastRenderedPageBreak/>
              <w:t> </w:t>
            </w:r>
          </w:p>
        </w:tc>
        <w:tc>
          <w:tcPr>
            <w:tcW w:w="2070" w:type="dxa"/>
            <w:gridSpan w:val="2"/>
            <w:tcBorders>
              <w:top w:val="nil"/>
              <w:left w:val="nil"/>
              <w:bottom w:val="single" w:sz="4" w:space="0" w:color="auto"/>
              <w:right w:val="nil"/>
            </w:tcBorders>
            <w:shd w:val="clear" w:color="000000" w:fill="FFFFFF"/>
            <w:vAlign w:val="center"/>
            <w:hideMark/>
          </w:tcPr>
          <w:p w:rsidR="00A2254F" w:rsidRPr="007154FC" w:rsidRDefault="00A2254F" w:rsidP="007B2886">
            <w:pPr>
              <w:ind w:left="0" w:firstLine="0"/>
              <w:rPr>
                <w:rFonts w:eastAsia="Times New Roman" w:cs="Arial"/>
                <w:i/>
                <w:iCs/>
                <w:color w:val="000000"/>
                <w:sz w:val="20"/>
                <w:szCs w:val="20"/>
              </w:rPr>
            </w:pPr>
            <w:r w:rsidRPr="007154FC">
              <w:rPr>
                <w:rFonts w:eastAsia="Times New Roman" w:cs="Arial"/>
                <w:i/>
                <w:iCs/>
                <w:color w:val="000000"/>
                <w:sz w:val="20"/>
                <w:szCs w:val="20"/>
              </w:rPr>
              <w:t>Clostridium difficile</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Positive</w:t>
            </w:r>
            <w:r w:rsidRPr="007154FC">
              <w:rPr>
                <w:rFonts w:eastAsia="Times New Roman" w:cs="Arial"/>
                <w:i/>
                <w:iCs/>
                <w:color w:val="000000"/>
                <w:sz w:val="20"/>
                <w:szCs w:val="20"/>
              </w:rPr>
              <w:t xml:space="preserve"> C. diff</w:t>
            </w:r>
            <w:r w:rsidRPr="007154FC">
              <w:rPr>
                <w:rFonts w:eastAsia="Times New Roman" w:cs="Arial"/>
                <w:color w:val="000000"/>
                <w:sz w:val="20"/>
                <w:szCs w:val="20"/>
              </w:rPr>
              <w:t xml:space="preserve"> toxin, antigen, or culture test </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metronidazole or vancomycin use within 3 days of </w:t>
            </w:r>
            <w:r w:rsidRPr="007154FC">
              <w:rPr>
                <w:rFonts w:eastAsia="Times New Roman" w:cs="Arial"/>
                <w:i/>
                <w:iCs/>
                <w:color w:val="000000"/>
                <w:sz w:val="20"/>
                <w:szCs w:val="20"/>
              </w:rPr>
              <w:t>C. diff</w:t>
            </w:r>
            <w:r w:rsidRPr="007154FC">
              <w:rPr>
                <w:rFonts w:eastAsia="Times New Roman" w:cs="Arial"/>
                <w:color w:val="000000"/>
                <w:sz w:val="20"/>
                <w:szCs w:val="20"/>
              </w:rPr>
              <w:t xml:space="preserve"> lab order date</w:t>
            </w:r>
          </w:p>
        </w:tc>
      </w:tr>
      <w:tr w:rsidR="00A2254F" w:rsidRPr="007154FC" w:rsidTr="007B2886">
        <w:trPr>
          <w:trHeight w:val="255"/>
        </w:trPr>
        <w:tc>
          <w:tcPr>
            <w:tcW w:w="1635"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Infection</w:t>
            </w:r>
          </w:p>
        </w:tc>
        <w:tc>
          <w:tcPr>
            <w:tcW w:w="2070" w:type="dxa"/>
            <w:gridSpan w:val="2"/>
            <w:tcBorders>
              <w:top w:val="single" w:sz="4" w:space="0" w:color="auto"/>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i/>
                <w:iCs/>
                <w:color w:val="000000"/>
                <w:sz w:val="20"/>
                <w:szCs w:val="20"/>
              </w:rPr>
            </w:pPr>
            <w:r w:rsidRPr="007154FC">
              <w:rPr>
                <w:rFonts w:eastAsia="Times New Roman" w:cs="Arial"/>
                <w:i/>
                <w:iCs/>
                <w:color w:val="000000"/>
                <w:sz w:val="20"/>
                <w:szCs w:val="20"/>
              </w:rPr>
              <w:t> </w:t>
            </w: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510"/>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070" w:type="dxa"/>
            <w:gridSpan w:val="2"/>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Pneumonia (culture)</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Positive tracheal aspirate or </w:t>
            </w:r>
            <w:proofErr w:type="spellStart"/>
            <w:r w:rsidRPr="007154FC">
              <w:rPr>
                <w:rFonts w:eastAsia="Times New Roman" w:cs="Arial"/>
                <w:color w:val="000000"/>
                <w:sz w:val="20"/>
                <w:szCs w:val="20"/>
              </w:rPr>
              <w:t>bronchoalveolar</w:t>
            </w:r>
            <w:proofErr w:type="spellEnd"/>
            <w:r w:rsidRPr="007154FC">
              <w:rPr>
                <w:rFonts w:eastAsia="Times New Roman" w:cs="Arial"/>
                <w:color w:val="000000"/>
                <w:sz w:val="20"/>
                <w:szCs w:val="20"/>
              </w:rPr>
              <w:t xml:space="preserve"> (BAL) culture</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antibiotic use within 3 days of culture order date </w:t>
            </w:r>
          </w:p>
        </w:tc>
      </w:tr>
      <w:tr w:rsidR="00A2254F" w:rsidRPr="007154FC" w:rsidTr="007B2886">
        <w:trPr>
          <w:trHeight w:val="510"/>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070" w:type="dxa"/>
            <w:gridSpan w:val="2"/>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Pneumonia (P/F ratio)</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P/F ratio &lt; 300</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antibiotic use within 3 days of lab order date </w:t>
            </w:r>
          </w:p>
        </w:tc>
      </w:tr>
      <w:tr w:rsidR="00A2254F" w:rsidRPr="007154FC" w:rsidTr="007B2886">
        <w:trPr>
          <w:trHeight w:val="510"/>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Blood/sepsis</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Positive blood culture</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antibiotic use within 3 days of culture order date </w:t>
            </w:r>
          </w:p>
        </w:tc>
      </w:tr>
      <w:tr w:rsidR="00A2254F" w:rsidRPr="007154FC" w:rsidTr="007B2886">
        <w:trPr>
          <w:trHeight w:val="510"/>
        </w:trPr>
        <w:tc>
          <w:tcPr>
            <w:tcW w:w="1635"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Urinary tract</w:t>
            </w: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Positive urine culture</w:t>
            </w:r>
          </w:p>
        </w:tc>
        <w:tc>
          <w:tcPr>
            <w:tcW w:w="297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antibiotic use within 3 days of culture order date </w:t>
            </w:r>
          </w:p>
        </w:tc>
      </w:tr>
      <w:tr w:rsidR="00A2254F" w:rsidRPr="007154FC" w:rsidTr="007B2886">
        <w:trPr>
          <w:trHeight w:val="1020"/>
        </w:trPr>
        <w:tc>
          <w:tcPr>
            <w:tcW w:w="1635"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Surgical site </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Positive culture from wound, abscess, or fluid samples from surgical site the day of first resuscitation fluid receipt or after through the following 7 date stamps if any surgical procedures performed during this timeframe</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AND white blood cell (WBC) count &gt;12,000/</w:t>
            </w:r>
            <w:r w:rsidRPr="007154FC">
              <w:rPr>
                <w:rFonts w:eastAsia="Times New Roman" w:cs="Arial"/>
                <w:color w:val="000000"/>
                <w:sz w:val="20"/>
                <w:szCs w:val="20"/>
              </w:rPr>
              <w:t>L +/-1 day of lab/culture order date</w:t>
            </w: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antibiotic use within 3 days of culture order date </w:t>
            </w:r>
          </w:p>
        </w:tc>
      </w:tr>
      <w:tr w:rsidR="00A2254F" w:rsidRPr="007154FC" w:rsidTr="007B2886">
        <w:trPr>
          <w:trHeight w:val="525"/>
        </w:trPr>
        <w:tc>
          <w:tcPr>
            <w:tcW w:w="1635"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Hemorrhage/</w:t>
            </w:r>
          </w:p>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Hematologic</w:t>
            </w:r>
          </w:p>
        </w:tc>
        <w:tc>
          <w:tcPr>
            <w:tcW w:w="2070" w:type="dxa"/>
            <w:gridSpan w:val="2"/>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525"/>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070" w:type="dxa"/>
            <w:gridSpan w:val="2"/>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Bleeding</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&gt; 2 g hemoglobin decrease in 24 hours (for multiple readings on one day, extremes were chosen)</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780"/>
        </w:trPr>
        <w:tc>
          <w:tcPr>
            <w:tcW w:w="1635"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 </w:t>
            </w:r>
          </w:p>
        </w:tc>
        <w:tc>
          <w:tcPr>
            <w:tcW w:w="2070" w:type="dxa"/>
            <w:gridSpan w:val="2"/>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Transfusion</w:t>
            </w:r>
          </w:p>
        </w:tc>
        <w:tc>
          <w:tcPr>
            <w:tcW w:w="5130"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Transfusion as indicated by ICD-9 procedure code 99.0 Transfusion of Blood and Blood Components (also including 99.03 - 99.07 and 99.09)</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w:t>
            </w:r>
          </w:p>
        </w:tc>
      </w:tr>
      <w:tr w:rsidR="00A2254F" w:rsidRPr="007154FC" w:rsidTr="007B2886">
        <w:trPr>
          <w:trHeight w:val="780"/>
        </w:trPr>
        <w:tc>
          <w:tcPr>
            <w:tcW w:w="1635" w:type="dxa"/>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 </w:t>
            </w:r>
          </w:p>
        </w:tc>
        <w:tc>
          <w:tcPr>
            <w:tcW w:w="2070" w:type="dxa"/>
            <w:gridSpan w:val="2"/>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Coagulopathy (excluding patients receiving warfarin)</w:t>
            </w: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Method 1: PT-INR &gt; 1.5</w:t>
            </w:r>
          </w:p>
        </w:tc>
        <w:tc>
          <w:tcPr>
            <w:tcW w:w="2970" w:type="dxa"/>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OR abnormal D-dimer test result per abnormal flag</w:t>
            </w:r>
          </w:p>
        </w:tc>
        <w:tc>
          <w:tcPr>
            <w:tcW w:w="252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OR thrombocytopenia </w:t>
            </w:r>
          </w:p>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(&lt; 150,000 platelet count) </w:t>
            </w:r>
          </w:p>
        </w:tc>
      </w:tr>
      <w:tr w:rsidR="00A2254F" w:rsidRPr="007154FC" w:rsidTr="007B2886">
        <w:trPr>
          <w:trHeight w:val="270"/>
        </w:trPr>
        <w:tc>
          <w:tcPr>
            <w:tcW w:w="1635"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nil"/>
              <w:left w:val="nil"/>
              <w:bottom w:val="single" w:sz="4" w:space="0" w:color="auto"/>
              <w:right w:val="nil"/>
            </w:tcBorders>
            <w:shd w:val="clear" w:color="auto" w:fill="auto"/>
            <w:vAlign w:val="center"/>
            <w:hideMark/>
          </w:tcPr>
          <w:p w:rsidR="00A2254F"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Method 2: SOFA coagulation scores</w:t>
            </w:r>
            <w:r w:rsidRPr="007154FC">
              <w:rPr>
                <w:rFonts w:eastAsia="Times New Roman" w:cs="Arial"/>
                <w:color w:val="000000"/>
                <w:sz w:val="20"/>
                <w:szCs w:val="20"/>
                <w:vertAlign w:val="superscript"/>
              </w:rPr>
              <w:t>2</w:t>
            </w:r>
            <w:r w:rsidRPr="007154FC">
              <w:rPr>
                <w:rFonts w:eastAsia="Times New Roman" w:cs="Arial"/>
                <w:color w:val="000000"/>
                <w:sz w:val="20"/>
                <w:szCs w:val="20"/>
              </w:rPr>
              <w:t xml:space="preserve"> (platelet counts)</w:t>
            </w:r>
          </w:p>
          <w:p w:rsidR="00A2254F" w:rsidRDefault="00A2254F" w:rsidP="007B2886">
            <w:pPr>
              <w:ind w:left="0" w:firstLine="0"/>
              <w:rPr>
                <w:rFonts w:eastAsia="Times New Roman" w:cs="Arial"/>
                <w:color w:val="000000"/>
                <w:sz w:val="20"/>
                <w:szCs w:val="20"/>
              </w:rPr>
            </w:pPr>
          </w:p>
          <w:p w:rsidR="00A2254F" w:rsidRDefault="00A2254F" w:rsidP="007B2886">
            <w:pPr>
              <w:ind w:left="0" w:firstLine="0"/>
              <w:rPr>
                <w:rFonts w:eastAsia="Times New Roman" w:cs="Arial"/>
                <w:color w:val="000000"/>
                <w:sz w:val="20"/>
                <w:szCs w:val="20"/>
              </w:rPr>
            </w:pPr>
          </w:p>
          <w:p w:rsidR="00A2254F" w:rsidRPr="007154FC" w:rsidRDefault="00A2254F" w:rsidP="007B2886">
            <w:pPr>
              <w:ind w:left="0" w:firstLine="0"/>
              <w:rPr>
                <w:rFonts w:eastAsia="Times New Roman" w:cs="Arial"/>
                <w:color w:val="000000"/>
                <w:sz w:val="20"/>
                <w:szCs w:val="20"/>
              </w:rPr>
            </w:pP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70"/>
        </w:trPr>
        <w:tc>
          <w:tcPr>
            <w:tcW w:w="1635"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Renal Failure</w:t>
            </w:r>
          </w:p>
        </w:tc>
        <w:tc>
          <w:tcPr>
            <w:tcW w:w="2070" w:type="dxa"/>
            <w:gridSpan w:val="2"/>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1575"/>
        </w:trPr>
        <w:tc>
          <w:tcPr>
            <w:tcW w:w="1635"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070"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KDIGO stage</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Scores calculated for KDIGO stages</w:t>
            </w:r>
            <w:r w:rsidRPr="007154FC">
              <w:rPr>
                <w:rFonts w:eastAsia="Times New Roman" w:cs="Arial"/>
                <w:color w:val="000000"/>
                <w:sz w:val="20"/>
                <w:szCs w:val="20"/>
                <w:vertAlign w:val="superscript"/>
              </w:rPr>
              <w:t>1</w:t>
            </w:r>
            <w:r w:rsidRPr="007154FC">
              <w:rPr>
                <w:rFonts w:eastAsia="Times New Roman" w:cs="Arial"/>
                <w:color w:val="000000"/>
                <w:sz w:val="20"/>
                <w:szCs w:val="20"/>
              </w:rPr>
              <w:t xml:space="preserve"> based on serum creatinine levels for 7 days post SIRS qualification. To assess effect of diuretic on renal failure, diuretic use monitored -1 day and +3 days of abnormal serum creatinine reading, and abnormal kidney function assignment only in the absence of diuretic use.</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525"/>
        </w:trPr>
        <w:tc>
          <w:tcPr>
            <w:tcW w:w="1635"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Electrolyte Abnormalities</w:t>
            </w:r>
          </w:p>
        </w:tc>
        <w:tc>
          <w:tcPr>
            <w:tcW w:w="2070" w:type="dxa"/>
            <w:gridSpan w:val="2"/>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1020"/>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070" w:type="dxa"/>
            <w:gridSpan w:val="2"/>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Magnesium</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Magnesium &gt;2.4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or &lt;1.6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considered high or low, respectively, and reported separately</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Patients with low levels examined for electrolyte replacement with IV or injectable forms of magnesium sulfate </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765"/>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Potassium</w:t>
            </w: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Potassium &gt;5.0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or &lt;3.5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considered high or low, respectively, and reported separately</w:t>
            </w: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Patients with low levels examined for electrolyte replacement with IV or oral forms of potassium chloride or potassium phosphate</w:t>
            </w: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765"/>
        </w:trPr>
        <w:tc>
          <w:tcPr>
            <w:tcW w:w="1635"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Calcium</w:t>
            </w: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Ionized calcium &gt;5.6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or &lt;4.5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considered high or low, respectively, and reported separately</w:t>
            </w:r>
          </w:p>
        </w:tc>
        <w:tc>
          <w:tcPr>
            <w:tcW w:w="297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Patients with low levels examined for electrolyte replacement with IV or injectable forms of calcium chloride or calcium gluconate</w:t>
            </w:r>
          </w:p>
        </w:tc>
        <w:tc>
          <w:tcPr>
            <w:tcW w:w="252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765"/>
        </w:trPr>
        <w:tc>
          <w:tcPr>
            <w:tcW w:w="1635"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Sodium</w:t>
            </w:r>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Serum sodium &gt;145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or &lt;136 mg/</w:t>
            </w:r>
            <w:proofErr w:type="spellStart"/>
            <w:r w:rsidRPr="007154FC">
              <w:rPr>
                <w:rFonts w:eastAsia="Times New Roman" w:cs="Arial"/>
                <w:color w:val="000000"/>
                <w:sz w:val="20"/>
                <w:szCs w:val="20"/>
              </w:rPr>
              <w:t>dL</w:t>
            </w:r>
            <w:proofErr w:type="spellEnd"/>
            <w:r w:rsidRPr="007154FC">
              <w:rPr>
                <w:rFonts w:eastAsia="Times New Roman" w:cs="Arial"/>
                <w:color w:val="000000"/>
                <w:sz w:val="20"/>
                <w:szCs w:val="20"/>
              </w:rPr>
              <w:t xml:space="preserve"> considered high or low, respectively, and reported separately</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60"/>
        </w:trPr>
        <w:tc>
          <w:tcPr>
            <w:tcW w:w="1635"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r w:rsidRPr="007154FC">
              <w:rPr>
                <w:rFonts w:eastAsia="Times New Roman" w:cs="Arial"/>
                <w:b/>
                <w:bCs/>
                <w:color w:val="000000"/>
                <w:sz w:val="20"/>
                <w:szCs w:val="20"/>
              </w:rPr>
              <w:t>Acidosis</w:t>
            </w:r>
          </w:p>
        </w:tc>
        <w:tc>
          <w:tcPr>
            <w:tcW w:w="2070" w:type="dxa"/>
            <w:gridSpan w:val="2"/>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513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97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c>
          <w:tcPr>
            <w:tcW w:w="2520" w:type="dxa"/>
            <w:tcBorders>
              <w:top w:val="single" w:sz="4" w:space="0" w:color="auto"/>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315"/>
        </w:trPr>
        <w:tc>
          <w:tcPr>
            <w:tcW w:w="1635"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Bicarbonate (HCO</w:t>
            </w:r>
            <w:r w:rsidRPr="007154FC">
              <w:rPr>
                <w:rFonts w:eastAsia="Times New Roman" w:cs="Arial"/>
                <w:color w:val="000000"/>
                <w:sz w:val="20"/>
                <w:szCs w:val="20"/>
                <w:vertAlign w:val="subscript"/>
              </w:rPr>
              <w:t>3</w:t>
            </w:r>
            <w:r w:rsidRPr="007154FC">
              <w:rPr>
                <w:rFonts w:eastAsia="Times New Roman" w:cs="Arial"/>
                <w:color w:val="000000"/>
                <w:sz w:val="20"/>
                <w:szCs w:val="20"/>
              </w:rPr>
              <w:t>)</w:t>
            </w:r>
          </w:p>
          <w:p w:rsidR="00A2254F" w:rsidRPr="007154FC" w:rsidRDefault="00A2254F" w:rsidP="007B2886">
            <w:pPr>
              <w:ind w:left="0" w:firstLine="0"/>
              <w:rPr>
                <w:rFonts w:eastAsia="Times New Roman" w:cs="Arial"/>
                <w:color w:val="000000"/>
                <w:sz w:val="20"/>
                <w:szCs w:val="20"/>
              </w:rPr>
            </w:pPr>
          </w:p>
          <w:p w:rsidR="00A2254F" w:rsidRPr="007154FC" w:rsidRDefault="00A2254F" w:rsidP="007B2886">
            <w:pPr>
              <w:ind w:left="0" w:firstLine="0"/>
              <w:rPr>
                <w:rFonts w:eastAsia="Times New Roman" w:cs="Arial"/>
                <w:color w:val="000000"/>
                <w:sz w:val="20"/>
                <w:szCs w:val="20"/>
              </w:rPr>
            </w:pPr>
          </w:p>
        </w:tc>
        <w:tc>
          <w:tcPr>
            <w:tcW w:w="513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pH (via arterial blood gas test) &lt;7.35</w:t>
            </w:r>
          </w:p>
          <w:p w:rsidR="00A2254F" w:rsidRPr="007154FC" w:rsidRDefault="00A2254F" w:rsidP="007B2886">
            <w:pPr>
              <w:ind w:left="0" w:firstLine="0"/>
              <w:rPr>
                <w:rFonts w:eastAsia="Times New Roman" w:cs="Arial"/>
                <w:color w:val="000000"/>
                <w:sz w:val="20"/>
                <w:szCs w:val="20"/>
              </w:rPr>
            </w:pPr>
          </w:p>
          <w:p w:rsidR="00A2254F" w:rsidRPr="007154FC" w:rsidRDefault="00A2254F" w:rsidP="007B2886">
            <w:pPr>
              <w:ind w:left="0" w:firstLine="0"/>
              <w:rPr>
                <w:rFonts w:eastAsia="Times New Roman" w:cs="Arial"/>
                <w:color w:val="000000"/>
                <w:sz w:val="20"/>
                <w:szCs w:val="20"/>
              </w:rPr>
            </w:pPr>
          </w:p>
        </w:tc>
        <w:tc>
          <w:tcPr>
            <w:tcW w:w="297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bicarbonate level &lt; 22 </w:t>
            </w:r>
            <w:proofErr w:type="spellStart"/>
            <w:r w:rsidRPr="007154FC">
              <w:rPr>
                <w:rFonts w:eastAsia="Times New Roman" w:cs="Arial"/>
                <w:color w:val="000000"/>
                <w:sz w:val="20"/>
                <w:szCs w:val="20"/>
              </w:rPr>
              <w:t>mmol</w:t>
            </w:r>
            <w:proofErr w:type="spellEnd"/>
            <w:r w:rsidRPr="007154FC">
              <w:rPr>
                <w:rFonts w:eastAsia="Times New Roman" w:cs="Arial"/>
                <w:color w:val="000000"/>
                <w:sz w:val="20"/>
                <w:szCs w:val="20"/>
              </w:rPr>
              <w:t>/L</w:t>
            </w:r>
          </w:p>
          <w:p w:rsidR="00A2254F" w:rsidRPr="007154FC" w:rsidRDefault="00A2254F" w:rsidP="007B2886">
            <w:pPr>
              <w:ind w:left="0" w:firstLine="0"/>
              <w:rPr>
                <w:rFonts w:eastAsia="Times New Roman" w:cs="Arial"/>
                <w:color w:val="000000"/>
                <w:sz w:val="20"/>
                <w:szCs w:val="20"/>
              </w:rPr>
            </w:pPr>
          </w:p>
        </w:tc>
        <w:tc>
          <w:tcPr>
            <w:tcW w:w="2520" w:type="dxa"/>
            <w:tcBorders>
              <w:top w:val="nil"/>
              <w:left w:val="nil"/>
              <w:bottom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765"/>
        </w:trPr>
        <w:tc>
          <w:tcPr>
            <w:tcW w:w="1635" w:type="dxa"/>
            <w:tcBorders>
              <w:top w:val="nil"/>
              <w:left w:val="nil"/>
              <w:right w:val="nil"/>
            </w:tcBorders>
            <w:shd w:val="clear" w:color="000000" w:fill="FFFFFF"/>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w:t>
            </w:r>
          </w:p>
        </w:tc>
        <w:tc>
          <w:tcPr>
            <w:tcW w:w="2070" w:type="dxa"/>
            <w:gridSpan w:val="2"/>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Lactate</w:t>
            </w:r>
          </w:p>
        </w:tc>
        <w:tc>
          <w:tcPr>
            <w:tcW w:w="513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pH (via arterial blood gas test) &lt;7.35</w:t>
            </w:r>
          </w:p>
        </w:tc>
        <w:tc>
          <w:tcPr>
            <w:tcW w:w="297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lactate level &gt;2.0 </w:t>
            </w:r>
            <w:proofErr w:type="spellStart"/>
            <w:r w:rsidRPr="007154FC">
              <w:rPr>
                <w:rFonts w:eastAsia="Times New Roman" w:cs="Arial"/>
                <w:color w:val="000000"/>
                <w:sz w:val="20"/>
                <w:szCs w:val="20"/>
              </w:rPr>
              <w:t>mmol</w:t>
            </w:r>
            <w:proofErr w:type="spellEnd"/>
            <w:r w:rsidRPr="007154FC">
              <w:rPr>
                <w:rFonts w:eastAsia="Times New Roman" w:cs="Arial"/>
                <w:color w:val="000000"/>
                <w:sz w:val="20"/>
                <w:szCs w:val="20"/>
              </w:rPr>
              <w:t xml:space="preserve">/L from any of the following tests (1) arterial lactate, (2) venous lactate, or (3) blood lactic acid </w:t>
            </w:r>
          </w:p>
        </w:tc>
        <w:tc>
          <w:tcPr>
            <w:tcW w:w="2520" w:type="dxa"/>
            <w:tcBorders>
              <w:top w:val="nil"/>
              <w:left w:val="nil"/>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255"/>
        </w:trPr>
        <w:tc>
          <w:tcPr>
            <w:tcW w:w="1635"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b/>
                <w:bCs/>
                <w:color w:val="000000"/>
                <w:sz w:val="20"/>
                <w:szCs w:val="20"/>
              </w:rPr>
            </w:pPr>
          </w:p>
        </w:tc>
        <w:tc>
          <w:tcPr>
            <w:tcW w:w="2070" w:type="dxa"/>
            <w:gridSpan w:val="2"/>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roofErr w:type="spellStart"/>
            <w:r w:rsidRPr="007154FC">
              <w:rPr>
                <w:rFonts w:eastAsia="Times New Roman" w:cs="Arial"/>
                <w:color w:val="000000"/>
                <w:sz w:val="20"/>
                <w:szCs w:val="20"/>
              </w:rPr>
              <w:t>Hyperchloremia</w:t>
            </w:r>
            <w:proofErr w:type="spellEnd"/>
          </w:p>
        </w:tc>
        <w:tc>
          <w:tcPr>
            <w:tcW w:w="513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pH (via arterial blood gas test) &lt;7.35</w:t>
            </w:r>
          </w:p>
        </w:tc>
        <w:tc>
          <w:tcPr>
            <w:tcW w:w="297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r w:rsidRPr="007154FC">
              <w:rPr>
                <w:rFonts w:eastAsia="Times New Roman" w:cs="Arial"/>
                <w:color w:val="000000"/>
                <w:sz w:val="20"/>
                <w:szCs w:val="20"/>
              </w:rPr>
              <w:t xml:space="preserve">AND chloride test level &gt;100 </w:t>
            </w:r>
            <w:proofErr w:type="spellStart"/>
            <w:r w:rsidRPr="007154FC">
              <w:rPr>
                <w:rFonts w:eastAsia="Times New Roman" w:cs="Arial"/>
                <w:color w:val="000000"/>
                <w:sz w:val="20"/>
                <w:szCs w:val="20"/>
              </w:rPr>
              <w:t>mmol</w:t>
            </w:r>
            <w:proofErr w:type="spellEnd"/>
            <w:r w:rsidRPr="007154FC">
              <w:rPr>
                <w:rFonts w:eastAsia="Times New Roman" w:cs="Arial"/>
                <w:color w:val="000000"/>
                <w:sz w:val="20"/>
                <w:szCs w:val="20"/>
              </w:rPr>
              <w:t>/L</w:t>
            </w:r>
          </w:p>
        </w:tc>
        <w:tc>
          <w:tcPr>
            <w:tcW w:w="2520" w:type="dxa"/>
            <w:tcBorders>
              <w:top w:val="nil"/>
              <w:left w:val="nil"/>
              <w:bottom w:val="single" w:sz="4" w:space="0" w:color="auto"/>
              <w:right w:val="nil"/>
            </w:tcBorders>
            <w:shd w:val="clear" w:color="auto" w:fill="auto"/>
            <w:vAlign w:val="center"/>
            <w:hideMark/>
          </w:tcPr>
          <w:p w:rsidR="00A2254F" w:rsidRPr="007154FC" w:rsidRDefault="00A2254F" w:rsidP="007B2886">
            <w:pPr>
              <w:ind w:left="0" w:firstLine="0"/>
              <w:rPr>
                <w:rFonts w:eastAsia="Times New Roman" w:cs="Arial"/>
                <w:color w:val="000000"/>
                <w:sz w:val="20"/>
                <w:szCs w:val="20"/>
              </w:rPr>
            </w:pPr>
          </w:p>
        </w:tc>
      </w:tr>
      <w:tr w:rsidR="00A2254F" w:rsidRPr="007154FC" w:rsidTr="007B2886">
        <w:trPr>
          <w:trHeight w:val="1095"/>
        </w:trPr>
        <w:tc>
          <w:tcPr>
            <w:tcW w:w="11805" w:type="dxa"/>
            <w:gridSpan w:val="5"/>
            <w:tcBorders>
              <w:top w:val="single" w:sz="4" w:space="0" w:color="auto"/>
              <w:left w:val="nil"/>
              <w:bottom w:val="nil"/>
              <w:right w:val="nil"/>
            </w:tcBorders>
            <w:shd w:val="clear" w:color="auto" w:fill="auto"/>
            <w:hideMark/>
          </w:tcPr>
          <w:p w:rsidR="00A2254F" w:rsidRPr="007154FC" w:rsidRDefault="00A2254F" w:rsidP="007B2886">
            <w:pPr>
              <w:ind w:left="0" w:firstLine="0"/>
              <w:rPr>
                <w:rFonts w:eastAsia="Times New Roman" w:cs="Arial"/>
                <w:color w:val="000000"/>
                <w:sz w:val="16"/>
                <w:szCs w:val="20"/>
              </w:rPr>
            </w:pPr>
            <w:r w:rsidRPr="007154FC">
              <w:rPr>
                <w:rFonts w:eastAsia="Times New Roman" w:cs="Arial"/>
                <w:color w:val="000000"/>
                <w:sz w:val="16"/>
                <w:szCs w:val="20"/>
                <w:vertAlign w:val="superscript"/>
              </w:rPr>
              <w:lastRenderedPageBreak/>
              <w:t>1</w:t>
            </w:r>
            <w:r w:rsidRPr="007154FC">
              <w:rPr>
                <w:rFonts w:eastAsia="Times New Roman" w:cs="Arial"/>
                <w:color w:val="000000"/>
                <w:sz w:val="16"/>
                <w:szCs w:val="20"/>
              </w:rPr>
              <w:t xml:space="preserve"> Kidney Disease: Improving Global Outcomes (KDIGO) Acute Kidney Injury Work Group. KDIGO Clinical Practice Guideline for Acute Kidney Injury. Kidney </w:t>
            </w:r>
            <w:proofErr w:type="spellStart"/>
            <w:r w:rsidRPr="007154FC">
              <w:rPr>
                <w:rFonts w:eastAsia="Times New Roman" w:cs="Arial"/>
                <w:color w:val="000000"/>
                <w:sz w:val="16"/>
                <w:szCs w:val="20"/>
              </w:rPr>
              <w:t>Int</w:t>
            </w:r>
            <w:proofErr w:type="spellEnd"/>
            <w:r w:rsidRPr="007154FC">
              <w:rPr>
                <w:rFonts w:eastAsia="Times New Roman" w:cs="Arial"/>
                <w:color w:val="000000"/>
                <w:sz w:val="16"/>
                <w:szCs w:val="20"/>
              </w:rPr>
              <w:t xml:space="preserve"> </w:t>
            </w:r>
            <w:proofErr w:type="spellStart"/>
            <w:r w:rsidRPr="007154FC">
              <w:rPr>
                <w:rFonts w:eastAsia="Times New Roman" w:cs="Arial"/>
                <w:color w:val="000000"/>
                <w:sz w:val="16"/>
                <w:szCs w:val="20"/>
              </w:rPr>
              <w:t>Suppl</w:t>
            </w:r>
            <w:proofErr w:type="spellEnd"/>
            <w:r w:rsidRPr="007154FC">
              <w:rPr>
                <w:rFonts w:eastAsia="Times New Roman" w:cs="Arial"/>
                <w:color w:val="000000"/>
                <w:sz w:val="16"/>
                <w:szCs w:val="20"/>
              </w:rPr>
              <w:t xml:space="preserve"> 2012;2:6–6</w:t>
            </w:r>
          </w:p>
          <w:p w:rsidR="00A2254F" w:rsidRPr="007154FC" w:rsidRDefault="00A2254F" w:rsidP="007B2886">
            <w:pPr>
              <w:ind w:left="0" w:firstLine="0"/>
              <w:rPr>
                <w:rFonts w:eastAsia="Times New Roman" w:cs="Arial"/>
                <w:color w:val="000000"/>
                <w:sz w:val="16"/>
                <w:szCs w:val="20"/>
              </w:rPr>
            </w:pPr>
            <w:r w:rsidRPr="007154FC">
              <w:rPr>
                <w:rFonts w:cs="Arial"/>
                <w:color w:val="222222"/>
                <w:sz w:val="16"/>
                <w:szCs w:val="20"/>
                <w:shd w:val="clear" w:color="auto" w:fill="FFFFFF"/>
                <w:vertAlign w:val="superscript"/>
              </w:rPr>
              <w:t>2</w:t>
            </w:r>
            <w:r w:rsidRPr="007154FC">
              <w:rPr>
                <w:rFonts w:cs="Arial"/>
                <w:color w:val="222222"/>
                <w:sz w:val="16"/>
                <w:szCs w:val="20"/>
                <w:shd w:val="clear" w:color="auto" w:fill="FFFFFF"/>
              </w:rPr>
              <w:t xml:space="preserve">Vincent J.-L., Moreno R., </w:t>
            </w:r>
            <w:proofErr w:type="spellStart"/>
            <w:r w:rsidRPr="007154FC">
              <w:rPr>
                <w:rFonts w:cs="Arial"/>
                <w:color w:val="222222"/>
                <w:sz w:val="16"/>
                <w:szCs w:val="20"/>
                <w:shd w:val="clear" w:color="auto" w:fill="FFFFFF"/>
              </w:rPr>
              <w:t>Takala</w:t>
            </w:r>
            <w:proofErr w:type="spellEnd"/>
            <w:r w:rsidRPr="007154FC">
              <w:rPr>
                <w:rFonts w:cs="Arial"/>
                <w:color w:val="222222"/>
                <w:sz w:val="16"/>
                <w:szCs w:val="20"/>
                <w:shd w:val="clear" w:color="auto" w:fill="FFFFFF"/>
              </w:rPr>
              <w:t xml:space="preserve"> J., </w:t>
            </w:r>
            <w:proofErr w:type="spellStart"/>
            <w:r w:rsidRPr="007154FC">
              <w:rPr>
                <w:rFonts w:cs="Arial"/>
                <w:color w:val="222222"/>
                <w:sz w:val="16"/>
                <w:szCs w:val="20"/>
                <w:shd w:val="clear" w:color="auto" w:fill="FFFFFF"/>
              </w:rPr>
              <w:t>Willats</w:t>
            </w:r>
            <w:proofErr w:type="spellEnd"/>
            <w:r w:rsidRPr="007154FC">
              <w:rPr>
                <w:rFonts w:cs="Arial"/>
                <w:color w:val="222222"/>
                <w:sz w:val="16"/>
                <w:szCs w:val="20"/>
                <w:shd w:val="clear" w:color="auto" w:fill="FFFFFF"/>
              </w:rPr>
              <w:t xml:space="preserve"> S., De </w:t>
            </w:r>
            <w:proofErr w:type="spellStart"/>
            <w:r w:rsidRPr="007154FC">
              <w:rPr>
                <w:rFonts w:cs="Arial"/>
                <w:color w:val="222222"/>
                <w:sz w:val="16"/>
                <w:szCs w:val="20"/>
                <w:shd w:val="clear" w:color="auto" w:fill="FFFFFF"/>
              </w:rPr>
              <w:t>Mendonca</w:t>
            </w:r>
            <w:proofErr w:type="spellEnd"/>
            <w:r w:rsidRPr="007154FC">
              <w:rPr>
                <w:rFonts w:cs="Arial"/>
                <w:color w:val="222222"/>
                <w:sz w:val="16"/>
                <w:szCs w:val="20"/>
                <w:shd w:val="clear" w:color="auto" w:fill="FFFFFF"/>
              </w:rPr>
              <w:t xml:space="preserve"> A., </w:t>
            </w:r>
            <w:proofErr w:type="spellStart"/>
            <w:r w:rsidRPr="007154FC">
              <w:rPr>
                <w:rFonts w:cs="Arial"/>
                <w:color w:val="222222"/>
                <w:sz w:val="16"/>
                <w:szCs w:val="20"/>
                <w:shd w:val="clear" w:color="auto" w:fill="FFFFFF"/>
              </w:rPr>
              <w:t>Bruining</w:t>
            </w:r>
            <w:proofErr w:type="spellEnd"/>
            <w:r w:rsidRPr="007154FC">
              <w:rPr>
                <w:rFonts w:cs="Arial"/>
                <w:color w:val="222222"/>
                <w:sz w:val="16"/>
                <w:szCs w:val="20"/>
                <w:shd w:val="clear" w:color="auto" w:fill="FFFFFF"/>
              </w:rPr>
              <w:t xml:space="preserve"> H., Reinhart C. K., Suter P. M. &amp; Thijs L. G. (1996). The SOFA (Sepsis-related Organ Failure Assessment) score to describe organ dysfunction/failure. On behalf of the Working Group on Sepsis-Related Problems of the European Society of Intensive Care Medicine. </w:t>
            </w:r>
            <w:r w:rsidRPr="007154FC">
              <w:rPr>
                <w:rFonts w:cs="Arial"/>
                <w:i/>
                <w:iCs/>
                <w:color w:val="222222"/>
                <w:sz w:val="16"/>
                <w:szCs w:val="20"/>
                <w:shd w:val="clear" w:color="auto" w:fill="FFFFFF"/>
              </w:rPr>
              <w:t>Intensive Care Med,</w:t>
            </w:r>
            <w:r w:rsidRPr="007154FC">
              <w:rPr>
                <w:rStyle w:val="apple-converted-space"/>
                <w:rFonts w:cs="Arial"/>
                <w:color w:val="222222"/>
                <w:sz w:val="16"/>
                <w:szCs w:val="20"/>
                <w:shd w:val="clear" w:color="auto" w:fill="FFFFFF"/>
              </w:rPr>
              <w:t> </w:t>
            </w:r>
            <w:r w:rsidRPr="007154FC">
              <w:rPr>
                <w:rFonts w:cs="Arial"/>
                <w:color w:val="222222"/>
                <w:sz w:val="16"/>
                <w:szCs w:val="20"/>
                <w:shd w:val="clear" w:color="auto" w:fill="FFFFFF"/>
              </w:rPr>
              <w:t>22:707-710</w:t>
            </w:r>
          </w:p>
        </w:tc>
        <w:tc>
          <w:tcPr>
            <w:tcW w:w="2520" w:type="dxa"/>
            <w:tcBorders>
              <w:top w:val="single" w:sz="4" w:space="0" w:color="auto"/>
              <w:left w:val="nil"/>
              <w:bottom w:val="nil"/>
              <w:right w:val="nil"/>
            </w:tcBorders>
            <w:shd w:val="clear" w:color="auto" w:fill="auto"/>
            <w:vAlign w:val="bottom"/>
            <w:hideMark/>
          </w:tcPr>
          <w:p w:rsidR="00A2254F" w:rsidRPr="007154FC" w:rsidRDefault="00A2254F" w:rsidP="007B2886">
            <w:pPr>
              <w:ind w:left="0" w:firstLine="0"/>
              <w:rPr>
                <w:rFonts w:eastAsia="Times New Roman" w:cs="Arial"/>
                <w:color w:val="000000"/>
                <w:sz w:val="16"/>
                <w:szCs w:val="20"/>
              </w:rPr>
            </w:pPr>
          </w:p>
        </w:tc>
      </w:tr>
    </w:tbl>
    <w:p w:rsidR="00A2254F" w:rsidRPr="007154FC" w:rsidRDefault="00A2254F" w:rsidP="00A2254F">
      <w:pPr>
        <w:tabs>
          <w:tab w:val="left" w:pos="540"/>
        </w:tabs>
        <w:ind w:left="0" w:firstLine="0"/>
        <w:rPr>
          <w:rFonts w:cs="Arial"/>
        </w:rPr>
      </w:pPr>
    </w:p>
    <w:p w:rsidR="008B2D8D" w:rsidRDefault="00B67FBD">
      <w:bookmarkStart w:id="0" w:name="_GoBack"/>
      <w:bookmarkEnd w:id="0"/>
    </w:p>
    <w:sectPr w:rsidR="008B2D8D" w:rsidSect="00A2254F">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2254F"/>
    <w:rsid w:val="00566244"/>
    <w:rsid w:val="00A2254F"/>
    <w:rsid w:val="00B67FBD"/>
    <w:rsid w:val="00C547FC"/>
    <w:rsid w:val="00DC0E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54F"/>
    <w:pPr>
      <w:spacing w:after="0" w:line="240" w:lineRule="auto"/>
      <w:ind w:left="720" w:firstLine="115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225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Ostroff</dc:creator>
  <cp:keywords/>
  <dc:description/>
  <cp:lastModifiedBy>lawid</cp:lastModifiedBy>
  <cp:revision>2</cp:revision>
  <dcterms:created xsi:type="dcterms:W3CDTF">2015-07-02T13:11:00Z</dcterms:created>
  <dcterms:modified xsi:type="dcterms:W3CDTF">2015-09-02T08:45:00Z</dcterms:modified>
</cp:coreProperties>
</file>