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38A" w:rsidRPr="00D0138A" w:rsidRDefault="00E94848" w:rsidP="00D0138A">
      <w:pPr>
        <w:spacing w:line="48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Oxidative Stress Method details</w:t>
      </w:r>
    </w:p>
    <w:p w:rsidR="00D0138A" w:rsidRDefault="00D0138A" w:rsidP="00D0138A">
      <w:pPr>
        <w:spacing w:line="480" w:lineRule="auto"/>
        <w:rPr>
          <w:rFonts w:ascii="Arial" w:hAnsi="Arial" w:cs="Arial"/>
          <w:sz w:val="20"/>
          <w:szCs w:val="20"/>
          <w:lang w:val="en-GB"/>
        </w:rPr>
      </w:pPr>
    </w:p>
    <w:p w:rsidR="00A3683E" w:rsidRPr="00A3683E" w:rsidRDefault="00A3683E" w:rsidP="00D0138A">
      <w:pPr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 xml:space="preserve">F2 </w:t>
      </w:r>
      <w:proofErr w:type="spellStart"/>
      <w:r>
        <w:rPr>
          <w:rFonts w:ascii="Arial" w:hAnsi="Arial" w:cs="Arial"/>
          <w:b/>
          <w:sz w:val="20"/>
          <w:szCs w:val="20"/>
          <w:lang w:val="en-GB"/>
        </w:rPr>
        <w:t>Isoprostanes</w:t>
      </w:r>
      <w:proofErr w:type="spellEnd"/>
    </w:p>
    <w:p w:rsidR="00D0138A" w:rsidRDefault="00D0138A" w:rsidP="00D0138A">
      <w:pPr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D0138A">
        <w:rPr>
          <w:rFonts w:ascii="Arial" w:hAnsi="Arial" w:cs="Arial"/>
          <w:sz w:val="20"/>
          <w:szCs w:val="20"/>
          <w:lang w:val="en-GB"/>
        </w:rPr>
        <w:t xml:space="preserve">The total, i.e. free and esterified, concentration of 8-iso prostaglandin F2α (iPF2α-III) was determined by liquid chromatography tandem mass spectrometry (LC-MS/MS). In brief, 0.02 mL of 10 ng/mL deuterated internal standard (8iPF2α-d4; Cayman chemical, USA) was added to 0.4 mL EDTA-plasma. To prevent arachidonic acid from auto-oxidation during sample preparation, butylated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hydroxytoluene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was added to a final concentration of 3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mmol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/L. Then 0.05 mL of 10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mol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/L KOH and 0.4 ml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MeOH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were added for alkaline hydrolysis, and the samples were incubated in a shaking water bath for 60 min at </w:t>
      </w:r>
      <w:smartTag w:uri="urn:schemas-microsoft-com:office:smarttags" w:element="metricconverter">
        <w:smartTagPr>
          <w:attr w:name="ProductID" w:val="40 ﾰC"/>
        </w:smartTagPr>
        <w:r w:rsidRPr="00D0138A">
          <w:rPr>
            <w:rFonts w:ascii="Arial" w:hAnsi="Arial" w:cs="Arial"/>
            <w:sz w:val="20"/>
            <w:szCs w:val="20"/>
            <w:lang w:val="en-GB"/>
          </w:rPr>
          <w:t>40 °C</w:t>
        </w:r>
      </w:smartTag>
      <w:r w:rsidRPr="00D0138A">
        <w:rPr>
          <w:rFonts w:ascii="Arial" w:hAnsi="Arial" w:cs="Arial"/>
          <w:sz w:val="20"/>
          <w:szCs w:val="20"/>
          <w:lang w:val="en-GB"/>
        </w:rPr>
        <w:t xml:space="preserve">. Afterwards, the samples were cleaned up using polymeric strong anion exchange 96-well solid phase extraction (SPE) plates (Strata-X-A-33u 60 mg/well,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Phenomenex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, Torrance, USA). The wells were successively washed with 1 mL of 2% NH4OH, 1 mL hexane and 1 mL 2-propanol using a positive pressure-96 processor (Waters, Milford, USA). The fraction containing F2-isoprostanes was eluted with 1 mL of 0.5% acetic acid in 2-propanol and then dried under a stream of nitrogen at room temperature and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redissolved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in 0.1 mL 25% acetonitrile containing 0.05% acetic acid. A volume of 15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μL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was injected on an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Acquity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BEH C18 column (Waters; 1.7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μm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, 2.1 × </w:t>
      </w:r>
      <w:smartTag w:uri="urn:schemas-microsoft-com:office:smarttags" w:element="metricconverter">
        <w:smartTagPr>
          <w:attr w:name="ProductID" w:val="100 mm"/>
        </w:smartTagPr>
        <w:r w:rsidRPr="00D0138A">
          <w:rPr>
            <w:rFonts w:ascii="Arial" w:hAnsi="Arial" w:cs="Arial"/>
            <w:sz w:val="20"/>
            <w:szCs w:val="20"/>
            <w:lang w:val="en-GB"/>
          </w:rPr>
          <w:t>100 mm</w:t>
        </w:r>
      </w:smartTag>
      <w:r w:rsidRPr="00D0138A">
        <w:rPr>
          <w:rFonts w:ascii="Arial" w:hAnsi="Arial" w:cs="Arial"/>
          <w:sz w:val="20"/>
          <w:szCs w:val="20"/>
          <w:lang w:val="en-GB"/>
        </w:rPr>
        <w:t xml:space="preserve">). F2-isoprostanes were quantified by an API 5000 triple quadrupole mass spectrometer (AB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Sciex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Technologies,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Toronta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, Canada) in negative ion multiple reaction monitoring acquisition mode. To calculate the iPF2α-III concentration, the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analyte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 xml:space="preserve"> to internal standard peak area ratio with transitions 353.2 to 193.2 and 357.2 to 197.2 respectively, were compared with a standard curve up to 5.6 </w:t>
      </w:r>
      <w:proofErr w:type="spellStart"/>
      <w:r w:rsidRPr="00D0138A">
        <w:rPr>
          <w:rFonts w:ascii="Arial" w:hAnsi="Arial" w:cs="Arial"/>
          <w:sz w:val="20"/>
          <w:szCs w:val="20"/>
          <w:lang w:val="en-GB"/>
        </w:rPr>
        <w:t>nmol</w:t>
      </w:r>
      <w:proofErr w:type="spellEnd"/>
      <w:r w:rsidRPr="00D0138A">
        <w:rPr>
          <w:rFonts w:ascii="Arial" w:hAnsi="Arial" w:cs="Arial"/>
          <w:sz w:val="20"/>
          <w:szCs w:val="20"/>
          <w:lang w:val="en-GB"/>
        </w:rPr>
        <w:t>/L iPF2α-III (Cayman chemical). The intra-run and inter-run assay variations were 4.6% and 8.2%, respectively.</w:t>
      </w:r>
    </w:p>
    <w:p w:rsidR="00A3683E" w:rsidRDefault="00A3683E" w:rsidP="00D0138A">
      <w:pPr>
        <w:spacing w:line="480" w:lineRule="auto"/>
        <w:rPr>
          <w:rFonts w:ascii="Arial" w:hAnsi="Arial" w:cs="Arial"/>
          <w:sz w:val="20"/>
          <w:szCs w:val="20"/>
          <w:lang w:val="en-GB"/>
        </w:rPr>
      </w:pPr>
    </w:p>
    <w:p w:rsidR="00A3683E" w:rsidRDefault="00A3683E" w:rsidP="00D0138A">
      <w:pPr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ROS production by PMN</w:t>
      </w:r>
    </w:p>
    <w:p w:rsidR="00A3683E" w:rsidRDefault="00A3683E" w:rsidP="00B6741A">
      <w:pPr>
        <w:pStyle w:val="BodyText"/>
        <w:spacing w:line="480" w:lineRule="auto"/>
        <w:jc w:val="both"/>
        <w:rPr>
          <w:rFonts w:ascii="Arial" w:eastAsia="ScalaLancetPro" w:hAnsi="Arial" w:cs="Arial"/>
          <w:b/>
          <w:sz w:val="20"/>
          <w:szCs w:val="20"/>
          <w:lang w:val="en-GB"/>
        </w:rPr>
      </w:pPr>
      <w:bookmarkStart w:id="0" w:name="_GoBack"/>
      <w:bookmarkEnd w:id="0"/>
      <w:r>
        <w:rPr>
          <w:rFonts w:ascii="Arial" w:eastAsia="ScalaLancetPro" w:hAnsi="Arial" w:cs="Arial"/>
          <w:sz w:val="20"/>
          <w:szCs w:val="20"/>
          <w:lang w:val="en-GB"/>
        </w:rPr>
        <w:t xml:space="preserve">Samples for the measurement of ROS production by circulating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Polymorphonuclear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 Leukocytes (PMN) were taken before induction of anaesthesia and at one hour of CPB. 30 µL of citrated whole blood was incubated with 10 µM of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CellROX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 Green (</w:t>
      </w:r>
      <w:r w:rsidRPr="00656149">
        <w:rPr>
          <w:rFonts w:ascii="Arial" w:eastAsia="ScalaLancetPro" w:hAnsi="Arial" w:cs="Arial"/>
          <w:sz w:val="20"/>
          <w:szCs w:val="20"/>
          <w:lang w:val="en-GB"/>
        </w:rPr>
        <w:t>Invitrogen, Grand Island, NY, USA</w:t>
      </w:r>
      <w:r>
        <w:rPr>
          <w:rFonts w:ascii="Arial" w:eastAsia="ScalaLancetPro" w:hAnsi="Arial" w:cs="Arial"/>
          <w:sz w:val="20"/>
          <w:szCs w:val="20"/>
          <w:lang w:val="en-GB"/>
        </w:rPr>
        <w:t xml:space="preserve">) for one hour. After oxidation, the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CellROX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 probe binds to DNA and becomes excitable. After incubation, leukocytes were isolated through lysis of erythrocytes by hypotonic shock and were washed twice with phosphate buffered saline (PBS). 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t xml:space="preserve">Positive and negative controls were obtained by </w:t>
      </w:r>
      <w:r>
        <w:rPr>
          <w:rFonts w:ascii="Arial" w:eastAsia="ScalaLancetPro" w:hAnsi="Arial" w:cs="Arial"/>
          <w:sz w:val="20"/>
          <w:szCs w:val="20"/>
          <w:lang w:val="en-GB"/>
        </w:rPr>
        <w:t>parallel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t xml:space="preserve"> incubation with phorbol-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lastRenderedPageBreak/>
        <w:t xml:space="preserve">12-myristate-13-acetate </w:t>
      </w:r>
      <w:r>
        <w:rPr>
          <w:rFonts w:ascii="Arial" w:eastAsia="ScalaLancetPro" w:hAnsi="Arial" w:cs="Arial"/>
          <w:sz w:val="20"/>
          <w:szCs w:val="20"/>
          <w:lang w:val="en-GB"/>
        </w:rPr>
        <w:t xml:space="preserve">(Sigma Aldrich,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Zwijndrecht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, </w:t>
      </w:r>
      <w:proofErr w:type="gramStart"/>
      <w:r>
        <w:rPr>
          <w:rFonts w:ascii="Arial" w:eastAsia="ScalaLancetPro" w:hAnsi="Arial" w:cs="Arial"/>
          <w:sz w:val="20"/>
          <w:szCs w:val="20"/>
          <w:lang w:val="en-GB"/>
        </w:rPr>
        <w:t>The</w:t>
      </w:r>
      <w:proofErr w:type="gramEnd"/>
      <w:r>
        <w:rPr>
          <w:rFonts w:ascii="Arial" w:eastAsia="ScalaLancetPro" w:hAnsi="Arial" w:cs="Arial"/>
          <w:sz w:val="20"/>
          <w:szCs w:val="20"/>
          <w:lang w:val="en-GB"/>
        </w:rPr>
        <w:t xml:space="preserve"> Netherlands) 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t xml:space="preserve">and N-acetyl-cysteine. </w:t>
      </w:r>
      <w:r>
        <w:rPr>
          <w:rFonts w:ascii="Arial" w:eastAsia="ScalaLancetPro" w:hAnsi="Arial" w:cs="Arial"/>
          <w:sz w:val="20"/>
          <w:szCs w:val="20"/>
          <w:lang w:val="en-GB"/>
        </w:rPr>
        <w:t xml:space="preserve">To compensate for the vast neutrophil count increase during CPB, the one hour CPB sample was incubated with 10, 20 and 30 µM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CellROX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 to construct a concentration-response curve and the ROS production was calculated based on the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CellROX</w:t>
      </w:r>
      <w:proofErr w:type="gramStart"/>
      <w:r>
        <w:rPr>
          <w:rFonts w:ascii="Arial" w:eastAsia="ScalaLancetPro" w:hAnsi="Arial" w:cs="Arial"/>
          <w:sz w:val="20"/>
          <w:szCs w:val="20"/>
          <w:lang w:val="en-GB"/>
        </w:rPr>
        <w:t>:Neutrophil</w:t>
      </w:r>
      <w:proofErr w:type="spellEnd"/>
      <w:proofErr w:type="gramEnd"/>
      <w:r>
        <w:rPr>
          <w:rFonts w:ascii="Arial" w:eastAsia="ScalaLancetPro" w:hAnsi="Arial" w:cs="Arial"/>
          <w:sz w:val="20"/>
          <w:szCs w:val="20"/>
          <w:lang w:val="en-GB"/>
        </w:rPr>
        <w:t xml:space="preserve"> ratio in the baseline sample. PMN were counted in a separate lyse-no wash sample using counting beads (</w:t>
      </w:r>
      <w:proofErr w:type="spellStart"/>
      <w:r w:rsidRPr="00250CA9">
        <w:rPr>
          <w:rFonts w:ascii="Arial" w:eastAsia="ScalaLancetPro" w:hAnsi="Arial" w:cs="Arial"/>
          <w:sz w:val="20"/>
          <w:szCs w:val="20"/>
          <w:lang w:val="en-GB"/>
        </w:rPr>
        <w:t>CountBright</w:t>
      </w:r>
      <w:proofErr w:type="spellEnd"/>
      <w:r w:rsidRPr="00250CA9">
        <w:rPr>
          <w:rFonts w:ascii="Arial" w:eastAsia="ScalaLancetPro" w:hAnsi="Arial" w:cs="Arial"/>
          <w:sz w:val="20"/>
          <w:szCs w:val="20"/>
          <w:lang w:val="en-GB"/>
        </w:rPr>
        <w:t xml:space="preserve"> Absolute Counting Beads</w:t>
      </w:r>
      <w:r>
        <w:rPr>
          <w:rFonts w:ascii="Arial" w:eastAsia="ScalaLancetPro" w:hAnsi="Arial" w:cs="Arial"/>
          <w:sz w:val="20"/>
          <w:szCs w:val="20"/>
          <w:lang w:val="en-GB"/>
        </w:rPr>
        <w:t xml:space="preserve">, Invitrogen). After the last washing step, cells were suspended in PBS and stored on ice in the dark until analysis on a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Beckton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 Dickinson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FACSCalibur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eastAsia="ScalaLancetPro" w:hAnsi="Arial" w:cs="Arial"/>
          <w:sz w:val="20"/>
          <w:szCs w:val="20"/>
          <w:lang w:val="en-GB"/>
        </w:rPr>
        <w:t>flowcytometer</w:t>
      </w:r>
      <w:proofErr w:type="spellEnd"/>
      <w:r>
        <w:rPr>
          <w:rFonts w:ascii="Arial" w:eastAsia="ScalaLancetPro" w:hAnsi="Arial" w:cs="Arial"/>
          <w:sz w:val="20"/>
          <w:szCs w:val="20"/>
          <w:lang w:val="en-GB"/>
        </w:rPr>
        <w:t>. The fluorescent properties of PMN were measured in the FL1 channel (530/30 nm emission filter) after excitation with a 488 nm argon laser. PMN were gated based on forward- and sideward scatter characteristics</w:t>
      </w:r>
      <w:r w:rsidRPr="004C5D66">
        <w:rPr>
          <w:lang w:val="en-GB"/>
        </w:rPr>
        <w:t xml:space="preserve"> 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t>to avoid</w:t>
      </w:r>
      <w:r>
        <w:rPr>
          <w:rFonts w:ascii="Arial" w:eastAsia="ScalaLancetPro" w:hAnsi="Arial" w:cs="Arial"/>
          <w:sz w:val="20"/>
          <w:szCs w:val="20"/>
          <w:lang w:val="en-GB"/>
        </w:rPr>
        <w:t xml:space="preserve"> 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t xml:space="preserve">activation of </w:t>
      </w:r>
      <w:r>
        <w:rPr>
          <w:rFonts w:ascii="Arial" w:eastAsia="ScalaLancetPro" w:hAnsi="Arial" w:cs="Arial"/>
          <w:sz w:val="20"/>
          <w:szCs w:val="20"/>
          <w:lang w:val="en-GB"/>
        </w:rPr>
        <w:t>PMN</w:t>
      </w:r>
      <w:r w:rsidRPr="008262FE">
        <w:rPr>
          <w:rFonts w:ascii="Arial" w:eastAsia="ScalaLancetPro" w:hAnsi="Arial" w:cs="Arial"/>
          <w:sz w:val="20"/>
          <w:szCs w:val="20"/>
          <w:lang w:val="en-GB"/>
        </w:rPr>
        <w:t xml:space="preserve"> by fluorescent cell-specific antibodies</w:t>
      </w:r>
      <w:r>
        <w:rPr>
          <w:rFonts w:ascii="Arial" w:eastAsia="ScalaLancetPro" w:hAnsi="Arial" w:cs="Arial"/>
          <w:sz w:val="20"/>
          <w:szCs w:val="20"/>
          <w:lang w:val="en-GB"/>
        </w:rPr>
        <w:t>. Results are expressed as MFI of 5000 cells.</w:t>
      </w:r>
      <w:r>
        <w:rPr>
          <w:rFonts w:ascii="Helvetica" w:hAnsi="Helvetica"/>
          <w:sz w:val="20"/>
          <w:szCs w:val="20"/>
          <w:lang w:val="en-GB"/>
        </w:rPr>
        <w:t xml:space="preserve"> </w:t>
      </w:r>
    </w:p>
    <w:p w:rsidR="00A3683E" w:rsidRDefault="00A3683E" w:rsidP="00A3683E">
      <w:pPr>
        <w:pStyle w:val="BodyText"/>
        <w:spacing w:line="480" w:lineRule="auto"/>
        <w:jc w:val="both"/>
        <w:rPr>
          <w:rFonts w:ascii="Arial" w:eastAsia="ScalaLancetPro" w:hAnsi="Arial" w:cs="Arial"/>
          <w:b/>
          <w:sz w:val="20"/>
          <w:szCs w:val="20"/>
          <w:lang w:val="en-GB"/>
        </w:rPr>
      </w:pPr>
    </w:p>
    <w:p w:rsidR="00A3683E" w:rsidRPr="00A3683E" w:rsidRDefault="00A3683E" w:rsidP="00D0138A">
      <w:pPr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</w:p>
    <w:p w:rsidR="0041781C" w:rsidRPr="00D0138A" w:rsidRDefault="00B6741A" w:rsidP="00D0138A">
      <w:pPr>
        <w:spacing w:line="480" w:lineRule="auto"/>
        <w:rPr>
          <w:rFonts w:ascii="Arial" w:hAnsi="Arial" w:cs="Arial"/>
          <w:sz w:val="20"/>
          <w:szCs w:val="20"/>
          <w:lang w:val="en-GB"/>
        </w:rPr>
      </w:pPr>
    </w:p>
    <w:sectPr w:rsidR="0041781C" w:rsidRPr="00D01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calaLancetPro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9CB"/>
    <w:rsid w:val="000613E2"/>
    <w:rsid w:val="00A3683E"/>
    <w:rsid w:val="00B6741A"/>
    <w:rsid w:val="00BA7380"/>
    <w:rsid w:val="00BF29CB"/>
    <w:rsid w:val="00D0138A"/>
    <w:rsid w:val="00E94848"/>
    <w:rsid w:val="00ED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B913F4-C371-44C0-906F-A10498F6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3683E"/>
    <w:pPr>
      <w:spacing w:after="120"/>
    </w:pPr>
    <w:rPr>
      <w:rFonts w:eastAsia="MS Mincho"/>
    </w:rPr>
  </w:style>
  <w:style w:type="character" w:customStyle="1" w:styleId="BodyTextChar">
    <w:name w:val="Body Text Char"/>
    <w:basedOn w:val="DefaultParagraphFont"/>
    <w:link w:val="BodyText"/>
    <w:rsid w:val="00A3683E"/>
    <w:rPr>
      <w:rFonts w:ascii="Times New Roman" w:eastAsia="MS Mincho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520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Smit</dc:creator>
  <cp:keywords/>
  <dc:description/>
  <cp:lastModifiedBy>Bob Smit</cp:lastModifiedBy>
  <cp:revision>5</cp:revision>
  <dcterms:created xsi:type="dcterms:W3CDTF">2015-09-22T10:21:00Z</dcterms:created>
  <dcterms:modified xsi:type="dcterms:W3CDTF">2016-01-21T13:51:00Z</dcterms:modified>
</cp:coreProperties>
</file>