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5C9" w:rsidRDefault="00C67B4C">
      <w:r>
        <w:t>Supplementary material</w:t>
      </w:r>
    </w:p>
    <w:p w:rsidR="00C67B4C" w:rsidRDefault="00C67B4C"/>
    <w:p w:rsidR="00C67B4C" w:rsidRDefault="00C67B4C" w:rsidP="00C67B4C">
      <w:pPr>
        <w:spacing w:line="480" w:lineRule="auto"/>
        <w:rPr>
          <w:lang w:val="en-US"/>
        </w:rPr>
      </w:pPr>
      <w:r>
        <w:t xml:space="preserve">Ramos JGR, Peroni B, Daglius-Dias R; et al. </w:t>
      </w:r>
      <w:r w:rsidRPr="00ED5BD8">
        <w:rPr>
          <w:lang w:val="en-US"/>
        </w:rPr>
        <w:t>D</w:t>
      </w:r>
      <w:r>
        <w:rPr>
          <w:lang w:val="en-US"/>
        </w:rPr>
        <w:t>evelopment of an instrument to aid triage decisions for intensive care unit admission: a clinical vignette and retrospective cohort study</w:t>
      </w:r>
    </w:p>
    <w:p w:rsidR="00C67B4C" w:rsidRPr="00C67B4C" w:rsidRDefault="00C67B4C">
      <w:pPr>
        <w:rPr>
          <w:lang w:val="en-US"/>
        </w:rPr>
      </w:pPr>
    </w:p>
    <w:p w:rsidR="00C67B4C" w:rsidRDefault="00C67B4C">
      <w:pPr>
        <w:rPr>
          <w:lang w:val="en-US"/>
        </w:rPr>
      </w:pPr>
      <w:r w:rsidRPr="00C67B4C">
        <w:rPr>
          <w:b/>
          <w:lang w:val="en-US"/>
        </w:rPr>
        <w:t xml:space="preserve">Table </w:t>
      </w:r>
      <w:r w:rsidR="00DF1F61">
        <w:rPr>
          <w:b/>
          <w:lang w:val="en-US"/>
        </w:rPr>
        <w:t>S</w:t>
      </w:r>
      <w:r w:rsidRPr="00C67B4C">
        <w:rPr>
          <w:b/>
          <w:lang w:val="en-US"/>
        </w:rPr>
        <w:t>1.</w:t>
      </w:r>
      <w:r>
        <w:rPr>
          <w:lang w:val="en-US"/>
        </w:rPr>
        <w:t xml:space="preserve"> Correlations between individual components of the triage tool and hospital outcomes.</w:t>
      </w:r>
    </w:p>
    <w:p w:rsidR="00C67B4C" w:rsidRDefault="00C67B4C">
      <w:pPr>
        <w:rPr>
          <w:lang w:val="en-US"/>
        </w:rPr>
      </w:pPr>
      <w:r w:rsidRPr="00C67B4C">
        <w:rPr>
          <w:b/>
          <w:lang w:val="en-US"/>
        </w:rPr>
        <w:t xml:space="preserve">Table </w:t>
      </w:r>
      <w:proofErr w:type="spellStart"/>
      <w:r w:rsidR="00DF1F61">
        <w:rPr>
          <w:b/>
          <w:lang w:val="en-US"/>
        </w:rPr>
        <w:t>S</w:t>
      </w:r>
      <w:r w:rsidRPr="00C67B4C">
        <w:rPr>
          <w:b/>
          <w:lang w:val="en-US"/>
        </w:rPr>
        <w:t>2</w:t>
      </w:r>
      <w:proofErr w:type="spellEnd"/>
      <w:r w:rsidRPr="00C67B4C">
        <w:rPr>
          <w:b/>
          <w:lang w:val="en-US"/>
        </w:rPr>
        <w:t>.</w:t>
      </w:r>
      <w:r>
        <w:rPr>
          <w:lang w:val="en-US"/>
        </w:rPr>
        <w:t xml:space="preserve"> Interrater reliability (quadratic weighted kappas) for individual components of the triage tool</w:t>
      </w:r>
    </w:p>
    <w:p w:rsidR="00747C46" w:rsidRDefault="00747C46" w:rsidP="00747C46">
      <w:pPr>
        <w:rPr>
          <w:lang w:val="en-US"/>
        </w:rPr>
      </w:pPr>
      <w:proofErr w:type="gramStart"/>
      <w:r>
        <w:rPr>
          <w:b/>
          <w:lang w:val="en-US"/>
        </w:rPr>
        <w:t>Appendix 1</w:t>
      </w:r>
      <w:r w:rsidRPr="00C67B4C">
        <w:rPr>
          <w:b/>
          <w:lang w:val="en-US"/>
        </w:rPr>
        <w:t>.</w:t>
      </w:r>
      <w:proofErr w:type="gramEnd"/>
      <w:r>
        <w:rPr>
          <w:lang w:val="en-US"/>
        </w:rPr>
        <w:t xml:space="preserve"> ICU triage tool algorithm framework</w:t>
      </w:r>
    </w:p>
    <w:p w:rsidR="00747C46" w:rsidRDefault="00747C46" w:rsidP="00747C46">
      <w:pPr>
        <w:rPr>
          <w:lang w:val="en-US"/>
        </w:rPr>
      </w:pPr>
      <w:r>
        <w:rPr>
          <w:b/>
          <w:lang w:val="en-US"/>
        </w:rPr>
        <w:t>Appendix 2</w:t>
      </w:r>
      <w:r w:rsidRPr="00C67B4C">
        <w:rPr>
          <w:b/>
          <w:lang w:val="en-US"/>
        </w:rPr>
        <w:t>.</w:t>
      </w:r>
      <w:r>
        <w:rPr>
          <w:lang w:val="en-US"/>
        </w:rPr>
        <w:t xml:space="preserve"> English translation of vignettes samples</w:t>
      </w:r>
    </w:p>
    <w:p w:rsidR="00C67B4C" w:rsidRDefault="00C67B4C">
      <w:pPr>
        <w:rPr>
          <w:lang w:val="en-US"/>
        </w:rPr>
      </w:pPr>
    </w:p>
    <w:p w:rsidR="00C67B4C" w:rsidRDefault="00C67B4C">
      <w:pPr>
        <w:rPr>
          <w:lang w:val="en-US"/>
        </w:rPr>
      </w:pPr>
      <w:r>
        <w:rPr>
          <w:lang w:val="en-US"/>
        </w:rPr>
        <w:br w:type="page"/>
      </w:r>
    </w:p>
    <w:p w:rsidR="00C67B4C" w:rsidRDefault="00C67B4C" w:rsidP="00C67B4C">
      <w:pPr>
        <w:rPr>
          <w:lang w:val="en-US"/>
        </w:rPr>
      </w:pPr>
      <w:r w:rsidRPr="00C67B4C">
        <w:rPr>
          <w:b/>
          <w:lang w:val="en-US"/>
        </w:rPr>
        <w:lastRenderedPageBreak/>
        <w:t>eTable 1.</w:t>
      </w:r>
      <w:r>
        <w:rPr>
          <w:lang w:val="en-US"/>
        </w:rPr>
        <w:t xml:space="preserve"> Correlations between individual components of the triage tool and hospital outcomes.</w:t>
      </w:r>
    </w:p>
    <w:tbl>
      <w:tblPr>
        <w:tblW w:w="9575" w:type="dxa"/>
        <w:tblCellMar>
          <w:left w:w="70" w:type="dxa"/>
          <w:right w:w="70" w:type="dxa"/>
        </w:tblCellMar>
        <w:tblLook w:val="04A0"/>
      </w:tblPr>
      <w:tblGrid>
        <w:gridCol w:w="3620"/>
        <w:gridCol w:w="1780"/>
        <w:gridCol w:w="780"/>
        <w:gridCol w:w="1758"/>
        <w:gridCol w:w="325"/>
        <w:gridCol w:w="427"/>
        <w:gridCol w:w="885"/>
      </w:tblGrid>
      <w:tr w:rsidR="00A13B95" w:rsidRPr="00A13B95" w:rsidTr="00A13B95">
        <w:trPr>
          <w:gridAfter w:val="1"/>
          <w:wAfter w:w="885" w:type="dxa"/>
          <w:trHeight w:val="300"/>
        </w:trPr>
        <w:tc>
          <w:tcPr>
            <w:tcW w:w="3620" w:type="dxa"/>
            <w:tcBorders>
              <w:top w:val="single" w:sz="4" w:space="0" w:color="auto"/>
              <w:left w:val="nil"/>
              <w:bottom w:val="single" w:sz="4" w:space="0" w:color="auto"/>
              <w:right w:val="nil"/>
            </w:tcBorders>
            <w:shd w:val="clear" w:color="auto" w:fill="auto"/>
            <w:noWrap/>
            <w:vAlign w:val="bottom"/>
            <w:hideMark/>
          </w:tcPr>
          <w:p w:rsidR="00A13B95" w:rsidRPr="00747C46" w:rsidRDefault="00A13B95" w:rsidP="00A13B95">
            <w:pPr>
              <w:spacing w:after="0" w:line="240" w:lineRule="auto"/>
              <w:rPr>
                <w:rFonts w:ascii="Calibri" w:eastAsia="Times New Roman" w:hAnsi="Calibri" w:cs="Times New Roman"/>
                <w:b/>
                <w:bCs/>
                <w:color w:val="000000"/>
                <w:lang w:val="en-US" w:eastAsia="pt-BR"/>
              </w:rPr>
            </w:pPr>
            <w:r w:rsidRPr="00747C46">
              <w:rPr>
                <w:rFonts w:ascii="Calibri" w:eastAsia="Times New Roman" w:hAnsi="Calibri" w:cs="Times New Roman"/>
                <w:b/>
                <w:bCs/>
                <w:color w:val="000000"/>
                <w:lang w:val="en-US" w:eastAsia="pt-BR"/>
              </w:rPr>
              <w:t> </w:t>
            </w:r>
          </w:p>
        </w:tc>
        <w:tc>
          <w:tcPr>
            <w:tcW w:w="1780" w:type="dxa"/>
            <w:tcBorders>
              <w:top w:val="single" w:sz="4" w:space="0" w:color="auto"/>
              <w:left w:val="nil"/>
              <w:bottom w:val="single" w:sz="4" w:space="0" w:color="auto"/>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b/>
                <w:bCs/>
                <w:color w:val="000000"/>
                <w:lang w:eastAsia="pt-BR"/>
              </w:rPr>
            </w:pPr>
            <w:r w:rsidRPr="00A13B95">
              <w:rPr>
                <w:rFonts w:ascii="Calibri" w:eastAsia="Times New Roman" w:hAnsi="Calibri" w:cs="Times New Roman"/>
                <w:b/>
                <w:bCs/>
                <w:color w:val="000000"/>
                <w:lang w:eastAsia="pt-BR"/>
              </w:rPr>
              <w:t>Hospital mortality</w:t>
            </w:r>
          </w:p>
        </w:tc>
        <w:tc>
          <w:tcPr>
            <w:tcW w:w="780" w:type="dxa"/>
            <w:tcBorders>
              <w:top w:val="single" w:sz="4" w:space="0" w:color="auto"/>
              <w:left w:val="nil"/>
              <w:bottom w:val="single" w:sz="4" w:space="0" w:color="auto"/>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b/>
                <w:bCs/>
                <w:color w:val="000000"/>
                <w:lang w:eastAsia="pt-BR"/>
              </w:rPr>
            </w:pPr>
            <w:r w:rsidRPr="00A13B95">
              <w:rPr>
                <w:rFonts w:ascii="Calibri" w:eastAsia="Times New Roman" w:hAnsi="Calibri" w:cs="Times New Roman"/>
                <w:b/>
                <w:bCs/>
                <w:color w:val="000000"/>
                <w:lang w:eastAsia="pt-BR"/>
              </w:rPr>
              <w:t>p</w:t>
            </w:r>
          </w:p>
        </w:tc>
        <w:tc>
          <w:tcPr>
            <w:tcW w:w="1758" w:type="dxa"/>
            <w:tcBorders>
              <w:top w:val="single" w:sz="4" w:space="0" w:color="auto"/>
              <w:left w:val="nil"/>
              <w:bottom w:val="single" w:sz="4" w:space="0" w:color="auto"/>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b/>
                <w:bCs/>
                <w:color w:val="000000"/>
                <w:lang w:eastAsia="pt-BR"/>
              </w:rPr>
            </w:pPr>
            <w:r w:rsidRPr="00A13B95">
              <w:rPr>
                <w:rFonts w:ascii="Calibri" w:eastAsia="Times New Roman" w:hAnsi="Calibri" w:cs="Times New Roman"/>
                <w:b/>
                <w:bCs/>
                <w:color w:val="000000"/>
                <w:lang w:eastAsia="pt-BR"/>
              </w:rPr>
              <w:t>ICU admission</w:t>
            </w:r>
          </w:p>
        </w:tc>
        <w:tc>
          <w:tcPr>
            <w:tcW w:w="752" w:type="dxa"/>
            <w:gridSpan w:val="2"/>
            <w:tcBorders>
              <w:top w:val="single" w:sz="4" w:space="0" w:color="auto"/>
              <w:left w:val="nil"/>
              <w:bottom w:val="single" w:sz="4" w:space="0" w:color="auto"/>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b/>
                <w:bCs/>
                <w:color w:val="000000"/>
                <w:lang w:eastAsia="pt-BR"/>
              </w:rPr>
            </w:pPr>
            <w:r w:rsidRPr="00A13B95">
              <w:rPr>
                <w:rFonts w:ascii="Calibri" w:eastAsia="Times New Roman" w:hAnsi="Calibri" w:cs="Times New Roman"/>
                <w:b/>
                <w:bCs/>
                <w:color w:val="000000"/>
                <w:lang w:eastAsia="pt-BR"/>
              </w:rPr>
              <w:t>p</w:t>
            </w:r>
          </w:p>
        </w:tc>
      </w:tr>
      <w:tr w:rsidR="00A13B95" w:rsidRPr="00A13B95" w:rsidTr="00A13B95">
        <w:trPr>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b/>
                <w:bCs/>
                <w:color w:val="000000"/>
                <w:lang w:eastAsia="pt-BR"/>
              </w:rPr>
            </w:pP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rPr>
                <w:rFonts w:ascii="Times New Roman" w:eastAsia="Times New Roman" w:hAnsi="Times New Roman" w:cs="Times New Roman"/>
                <w:sz w:val="20"/>
                <w:szCs w:val="20"/>
                <w:lang w:eastAsia="pt-BR"/>
              </w:rPr>
            </w:pP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Times New Roman" w:eastAsia="Times New Roman" w:hAnsi="Times New Roman" w:cs="Times New Roman"/>
                <w:sz w:val="20"/>
                <w:szCs w:val="20"/>
                <w:lang w:eastAsia="pt-BR"/>
              </w:rPr>
            </w:pPr>
          </w:p>
        </w:tc>
        <w:tc>
          <w:tcPr>
            <w:tcW w:w="2083"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Times New Roman" w:eastAsia="Times New Roman" w:hAnsi="Times New Roman" w:cs="Times New Roman"/>
                <w:sz w:val="20"/>
                <w:szCs w:val="20"/>
                <w:lang w:eastAsia="pt-BR"/>
              </w:rPr>
            </w:pPr>
          </w:p>
        </w:tc>
        <w:tc>
          <w:tcPr>
            <w:tcW w:w="131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ind w:left="219" w:hanging="219"/>
              <w:jc w:val="center"/>
              <w:rPr>
                <w:rFonts w:ascii="Times New Roman" w:eastAsia="Times New Roman" w:hAnsi="Times New Roman" w:cs="Times New Roman"/>
                <w:sz w:val="20"/>
                <w:szCs w:val="20"/>
                <w:lang w:eastAsia="pt-BR"/>
              </w:rPr>
            </w:pP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rPr>
                <w:rFonts w:ascii="Calibri" w:eastAsia="Times New Roman" w:hAnsi="Calibri" w:cs="Times New Roman"/>
                <w:b/>
                <w:color w:val="000000"/>
                <w:lang w:val="en-US" w:eastAsia="pt-BR"/>
              </w:rPr>
            </w:pPr>
            <w:r w:rsidRPr="00A13B95">
              <w:rPr>
                <w:rFonts w:ascii="Calibri" w:eastAsia="Times New Roman" w:hAnsi="Calibri" w:cs="Times New Roman"/>
                <w:b/>
                <w:color w:val="000000"/>
                <w:lang w:val="en-US" w:eastAsia="pt-BR"/>
              </w:rPr>
              <w:t>Question 1 (reason for ICU request)</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rPr>
                <w:rFonts w:ascii="Calibri" w:eastAsia="Times New Roman" w:hAnsi="Calibri" w:cs="Times New Roman"/>
                <w:color w:val="000000"/>
                <w:lang w:val="en-US" w:eastAsia="pt-BR"/>
              </w:rPr>
            </w:pP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&lt;0.001</w:t>
            </w: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0.795</w:t>
            </w: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right"/>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Intervention, N(%)</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160/368 (43.5%)</w:t>
            </w: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233/373 (62.5%)</w:t>
            </w: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right"/>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Monitoring, N (%)</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60/204 (29.4%)</w:t>
            </w: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127/209 (60.8%)</w:t>
            </w: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Times New Roman" w:eastAsia="Times New Roman" w:hAnsi="Times New Roman" w:cs="Times New Roman"/>
                <w:sz w:val="20"/>
                <w:szCs w:val="20"/>
                <w:lang w:eastAsia="pt-BR"/>
              </w:rPr>
            </w:pP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rPr>
                <w:rFonts w:ascii="Times New Roman" w:eastAsia="Times New Roman" w:hAnsi="Times New Roman" w:cs="Times New Roman"/>
                <w:sz w:val="20"/>
                <w:szCs w:val="20"/>
                <w:lang w:eastAsia="pt-BR"/>
              </w:rPr>
            </w:pP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Times New Roman" w:eastAsia="Times New Roman" w:hAnsi="Times New Roman" w:cs="Times New Roman"/>
                <w:sz w:val="20"/>
                <w:szCs w:val="20"/>
                <w:lang w:eastAsia="pt-BR"/>
              </w:rPr>
            </w:pP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Times New Roman" w:eastAsia="Times New Roman" w:hAnsi="Times New Roman" w:cs="Times New Roman"/>
                <w:sz w:val="20"/>
                <w:szCs w:val="20"/>
                <w:lang w:eastAsia="pt-BR"/>
              </w:rPr>
            </w:pP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Times New Roman" w:eastAsia="Times New Roman" w:hAnsi="Times New Roman" w:cs="Times New Roman"/>
                <w:sz w:val="20"/>
                <w:szCs w:val="20"/>
                <w:lang w:eastAsia="pt-BR"/>
              </w:rPr>
            </w:pP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rPr>
                <w:rFonts w:ascii="Calibri" w:eastAsia="Times New Roman" w:hAnsi="Calibri" w:cs="Times New Roman"/>
                <w:b/>
                <w:color w:val="000000"/>
                <w:lang w:eastAsia="pt-BR"/>
              </w:rPr>
            </w:pPr>
            <w:r w:rsidRPr="00A13B95">
              <w:rPr>
                <w:rFonts w:ascii="Calibri" w:eastAsia="Times New Roman" w:hAnsi="Calibri" w:cs="Times New Roman"/>
                <w:b/>
                <w:color w:val="000000"/>
                <w:lang w:eastAsia="pt-BR"/>
              </w:rPr>
              <w:t>Question 2 (comorbidities)</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rPr>
                <w:rFonts w:ascii="Calibri" w:eastAsia="Times New Roman" w:hAnsi="Calibri" w:cs="Times New Roman"/>
                <w:color w:val="000000"/>
                <w:lang w:eastAsia="pt-BR"/>
              </w:rPr>
            </w:pP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&lt;0.001</w:t>
            </w: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0.03</w:t>
            </w: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right"/>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No comorbidities, N(%)</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35/122 (28.7%)</w:t>
            </w: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89/123 (72.4%)</w:t>
            </w: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right"/>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Compensated comorbidities, N(%)</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82/245 (33.5%)</w:t>
            </w: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155/250 (62%)</w:t>
            </w: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right"/>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Decompensated comorbidities, N(%)</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76/173 (43.9%)</w:t>
            </w: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97/175 (55.4%)</w:t>
            </w: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right"/>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Advanced disease, N(%)</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31/52 (59.6%)</w:t>
            </w: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32/54 (59.3%)</w:t>
            </w: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Times New Roman" w:eastAsia="Times New Roman" w:hAnsi="Times New Roman" w:cs="Times New Roman"/>
                <w:sz w:val="20"/>
                <w:szCs w:val="20"/>
                <w:lang w:eastAsia="pt-BR"/>
              </w:rPr>
            </w:pP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rPr>
                <w:rFonts w:ascii="Times New Roman" w:eastAsia="Times New Roman" w:hAnsi="Times New Roman" w:cs="Times New Roman"/>
                <w:sz w:val="20"/>
                <w:szCs w:val="20"/>
                <w:lang w:eastAsia="pt-BR"/>
              </w:rPr>
            </w:pP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Times New Roman" w:eastAsia="Times New Roman" w:hAnsi="Times New Roman" w:cs="Times New Roman"/>
                <w:sz w:val="20"/>
                <w:szCs w:val="20"/>
                <w:lang w:eastAsia="pt-BR"/>
              </w:rPr>
            </w:pP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Times New Roman" w:eastAsia="Times New Roman" w:hAnsi="Times New Roman" w:cs="Times New Roman"/>
                <w:sz w:val="20"/>
                <w:szCs w:val="20"/>
                <w:lang w:eastAsia="pt-BR"/>
              </w:rPr>
            </w:pP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Times New Roman" w:eastAsia="Times New Roman" w:hAnsi="Times New Roman" w:cs="Times New Roman"/>
                <w:sz w:val="20"/>
                <w:szCs w:val="20"/>
                <w:lang w:eastAsia="pt-BR"/>
              </w:rPr>
            </w:pP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rPr>
                <w:rFonts w:ascii="Calibri" w:eastAsia="Times New Roman" w:hAnsi="Calibri" w:cs="Times New Roman"/>
                <w:b/>
                <w:color w:val="000000"/>
                <w:lang w:eastAsia="pt-BR"/>
              </w:rPr>
            </w:pPr>
            <w:r w:rsidRPr="00A13B95">
              <w:rPr>
                <w:rFonts w:ascii="Calibri" w:eastAsia="Times New Roman" w:hAnsi="Calibri" w:cs="Times New Roman"/>
                <w:b/>
                <w:color w:val="000000"/>
                <w:lang w:eastAsia="pt-BR"/>
              </w:rPr>
              <w:t>Question 3 (status performance)</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rPr>
                <w:rFonts w:ascii="Calibri" w:eastAsia="Times New Roman" w:hAnsi="Calibri" w:cs="Times New Roman"/>
                <w:color w:val="000000"/>
                <w:lang w:eastAsia="pt-BR"/>
              </w:rPr>
            </w:pP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&lt;0.001</w:t>
            </w: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0.008</w:t>
            </w: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right"/>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Functionally independent</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126/402 (31.3%)</w:t>
            </w: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266/409 (65%)</w:t>
            </w: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right"/>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Partially independent</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78/155 (50.3%)</w:t>
            </w: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93/158 (58.9%)</w:t>
            </w: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right"/>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Severely dependent</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20/35 (57.1%)</w:t>
            </w: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14/35 (40%)</w:t>
            </w: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Times New Roman" w:eastAsia="Times New Roman" w:hAnsi="Times New Roman" w:cs="Times New Roman"/>
                <w:sz w:val="20"/>
                <w:szCs w:val="20"/>
                <w:lang w:eastAsia="pt-BR"/>
              </w:rPr>
            </w:pP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rPr>
                <w:rFonts w:ascii="Times New Roman" w:eastAsia="Times New Roman" w:hAnsi="Times New Roman" w:cs="Times New Roman"/>
                <w:sz w:val="20"/>
                <w:szCs w:val="20"/>
                <w:lang w:eastAsia="pt-BR"/>
              </w:rPr>
            </w:pP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Times New Roman" w:eastAsia="Times New Roman" w:hAnsi="Times New Roman" w:cs="Times New Roman"/>
                <w:sz w:val="20"/>
                <w:szCs w:val="20"/>
                <w:lang w:eastAsia="pt-BR"/>
              </w:rPr>
            </w:pP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Times New Roman" w:eastAsia="Times New Roman" w:hAnsi="Times New Roman" w:cs="Times New Roman"/>
                <w:sz w:val="20"/>
                <w:szCs w:val="20"/>
                <w:lang w:eastAsia="pt-BR"/>
              </w:rPr>
            </w:pP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Times New Roman" w:eastAsia="Times New Roman" w:hAnsi="Times New Roman" w:cs="Times New Roman"/>
                <w:sz w:val="20"/>
                <w:szCs w:val="20"/>
                <w:lang w:eastAsia="pt-BR"/>
              </w:rPr>
            </w:pP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F752B">
            <w:pPr>
              <w:spacing w:after="0" w:line="240" w:lineRule="auto"/>
              <w:rPr>
                <w:rFonts w:ascii="Calibri" w:eastAsia="Times New Roman" w:hAnsi="Calibri" w:cs="Times New Roman"/>
                <w:b/>
                <w:color w:val="000000"/>
                <w:lang w:eastAsia="pt-BR"/>
              </w:rPr>
            </w:pPr>
            <w:r w:rsidRPr="00A13B95">
              <w:rPr>
                <w:rFonts w:ascii="Calibri" w:eastAsia="Times New Roman" w:hAnsi="Calibri" w:cs="Times New Roman"/>
                <w:b/>
                <w:color w:val="000000"/>
                <w:lang w:eastAsia="pt-BR"/>
              </w:rPr>
              <w:t>Question 4 (</w:t>
            </w:r>
            <w:r w:rsidR="00AF752B">
              <w:rPr>
                <w:rFonts w:ascii="Calibri" w:eastAsia="Times New Roman" w:hAnsi="Calibri" w:cs="Times New Roman"/>
                <w:b/>
                <w:color w:val="000000"/>
                <w:lang w:eastAsia="pt-BR"/>
              </w:rPr>
              <w:t>intuitive</w:t>
            </w:r>
            <w:r w:rsidRPr="00A13B95">
              <w:rPr>
                <w:rFonts w:ascii="Calibri" w:eastAsia="Times New Roman" w:hAnsi="Calibri" w:cs="Times New Roman"/>
                <w:b/>
                <w:color w:val="000000"/>
                <w:lang w:eastAsia="pt-BR"/>
              </w:rPr>
              <w:t xml:space="preserve"> prognosis)</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rPr>
                <w:rFonts w:ascii="Calibri" w:eastAsia="Times New Roman" w:hAnsi="Calibri" w:cs="Times New Roman"/>
                <w:color w:val="000000"/>
                <w:lang w:eastAsia="pt-BR"/>
              </w:rPr>
            </w:pP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&lt;0.001</w:t>
            </w: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&lt;0.001</w:t>
            </w: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right"/>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Survive without severe disabilities</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102/341 (29.9%)</w:t>
            </w: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235/346 (67.9%)</w:t>
            </w: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r>
      <w:tr w:rsidR="00A13B95" w:rsidRPr="00A13B95" w:rsidTr="00A13B95">
        <w:trPr>
          <w:gridAfter w:val="1"/>
          <w:wAfter w:w="885" w:type="dxa"/>
          <w:trHeight w:val="300"/>
        </w:trPr>
        <w:tc>
          <w:tcPr>
            <w:tcW w:w="362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right"/>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Surive with severe disabilities</w:t>
            </w:r>
          </w:p>
        </w:tc>
        <w:tc>
          <w:tcPr>
            <w:tcW w:w="1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108/234 (46.2%)</w:t>
            </w:r>
          </w:p>
        </w:tc>
        <w:tc>
          <w:tcPr>
            <w:tcW w:w="780"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c>
          <w:tcPr>
            <w:tcW w:w="1758" w:type="dxa"/>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131/239 (54.8%)</w:t>
            </w:r>
          </w:p>
        </w:tc>
        <w:tc>
          <w:tcPr>
            <w:tcW w:w="752" w:type="dxa"/>
            <w:gridSpan w:val="2"/>
            <w:tcBorders>
              <w:top w:val="nil"/>
              <w:left w:val="nil"/>
              <w:bottom w:val="nil"/>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p>
        </w:tc>
      </w:tr>
      <w:tr w:rsidR="00A13B95" w:rsidRPr="00A13B95" w:rsidTr="00A13B95">
        <w:trPr>
          <w:gridAfter w:val="1"/>
          <w:wAfter w:w="885" w:type="dxa"/>
          <w:trHeight w:val="300"/>
        </w:trPr>
        <w:tc>
          <w:tcPr>
            <w:tcW w:w="3620" w:type="dxa"/>
            <w:tcBorders>
              <w:top w:val="nil"/>
              <w:left w:val="nil"/>
              <w:bottom w:val="single" w:sz="4" w:space="0" w:color="auto"/>
              <w:right w:val="nil"/>
            </w:tcBorders>
            <w:shd w:val="clear" w:color="auto" w:fill="auto"/>
            <w:noWrap/>
            <w:vAlign w:val="bottom"/>
            <w:hideMark/>
          </w:tcPr>
          <w:p w:rsidR="00A13B95" w:rsidRPr="00A13B95" w:rsidRDefault="00A13B95" w:rsidP="00A13B95">
            <w:pPr>
              <w:spacing w:after="0" w:line="240" w:lineRule="auto"/>
              <w:jc w:val="right"/>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No survival</w:t>
            </w:r>
          </w:p>
        </w:tc>
        <w:tc>
          <w:tcPr>
            <w:tcW w:w="1780" w:type="dxa"/>
            <w:tcBorders>
              <w:top w:val="nil"/>
              <w:left w:val="nil"/>
              <w:bottom w:val="single" w:sz="4" w:space="0" w:color="auto"/>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14/17 (82.4%)</w:t>
            </w:r>
          </w:p>
        </w:tc>
        <w:tc>
          <w:tcPr>
            <w:tcW w:w="780" w:type="dxa"/>
            <w:tcBorders>
              <w:top w:val="nil"/>
              <w:left w:val="nil"/>
              <w:bottom w:val="single" w:sz="4" w:space="0" w:color="auto"/>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 </w:t>
            </w:r>
          </w:p>
        </w:tc>
        <w:tc>
          <w:tcPr>
            <w:tcW w:w="1758" w:type="dxa"/>
            <w:tcBorders>
              <w:top w:val="nil"/>
              <w:left w:val="nil"/>
              <w:bottom w:val="single" w:sz="4" w:space="0" w:color="auto"/>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7/17 (41.2%)</w:t>
            </w:r>
          </w:p>
        </w:tc>
        <w:tc>
          <w:tcPr>
            <w:tcW w:w="752" w:type="dxa"/>
            <w:gridSpan w:val="2"/>
            <w:tcBorders>
              <w:top w:val="nil"/>
              <w:left w:val="nil"/>
              <w:bottom w:val="single" w:sz="4" w:space="0" w:color="auto"/>
              <w:right w:val="nil"/>
            </w:tcBorders>
            <w:shd w:val="clear" w:color="auto" w:fill="auto"/>
            <w:noWrap/>
            <w:vAlign w:val="bottom"/>
            <w:hideMark/>
          </w:tcPr>
          <w:p w:rsidR="00A13B95" w:rsidRPr="00A13B95" w:rsidRDefault="00A13B95" w:rsidP="00A13B95">
            <w:pPr>
              <w:spacing w:after="0" w:line="240" w:lineRule="auto"/>
              <w:jc w:val="center"/>
              <w:rPr>
                <w:rFonts w:ascii="Calibri" w:eastAsia="Times New Roman" w:hAnsi="Calibri" w:cs="Times New Roman"/>
                <w:color w:val="000000"/>
                <w:lang w:eastAsia="pt-BR"/>
              </w:rPr>
            </w:pPr>
            <w:r w:rsidRPr="00A13B95">
              <w:rPr>
                <w:rFonts w:ascii="Calibri" w:eastAsia="Times New Roman" w:hAnsi="Calibri" w:cs="Times New Roman"/>
                <w:color w:val="000000"/>
                <w:lang w:eastAsia="pt-BR"/>
              </w:rPr>
              <w:t> </w:t>
            </w:r>
          </w:p>
        </w:tc>
      </w:tr>
    </w:tbl>
    <w:p w:rsidR="00C67B4C" w:rsidRDefault="00C67B4C">
      <w:pPr>
        <w:rPr>
          <w:lang w:val="en-US"/>
        </w:rPr>
      </w:pPr>
    </w:p>
    <w:p w:rsidR="00C67B4C" w:rsidRDefault="00C67B4C">
      <w:pPr>
        <w:rPr>
          <w:lang w:val="en-US"/>
        </w:rPr>
      </w:pPr>
    </w:p>
    <w:p w:rsidR="00C67B4C" w:rsidRDefault="00C67B4C">
      <w:pPr>
        <w:rPr>
          <w:lang w:val="en-US"/>
        </w:rPr>
      </w:pPr>
      <w:r>
        <w:rPr>
          <w:lang w:val="en-US"/>
        </w:rPr>
        <w:br w:type="page"/>
      </w:r>
    </w:p>
    <w:p w:rsidR="00C67B4C" w:rsidRDefault="00C67B4C" w:rsidP="00C67B4C">
      <w:pPr>
        <w:rPr>
          <w:lang w:val="en-US"/>
        </w:rPr>
      </w:pPr>
      <w:r w:rsidRPr="00C67B4C">
        <w:rPr>
          <w:b/>
          <w:lang w:val="en-US"/>
        </w:rPr>
        <w:lastRenderedPageBreak/>
        <w:t>eTable 2.</w:t>
      </w:r>
      <w:r>
        <w:rPr>
          <w:lang w:val="en-US"/>
        </w:rPr>
        <w:t xml:space="preserve"> Interrater reliability (quadratic weighted kappas) for individual components of the triage tool</w:t>
      </w:r>
    </w:p>
    <w:p w:rsidR="00C67B4C" w:rsidRDefault="00C67B4C">
      <w:pPr>
        <w:rPr>
          <w:lang w:val="en-US"/>
        </w:rPr>
      </w:pPr>
    </w:p>
    <w:tbl>
      <w:tblPr>
        <w:tblW w:w="7840" w:type="dxa"/>
        <w:tblCellMar>
          <w:left w:w="70" w:type="dxa"/>
          <w:right w:w="70" w:type="dxa"/>
        </w:tblCellMar>
        <w:tblLook w:val="04A0"/>
      </w:tblPr>
      <w:tblGrid>
        <w:gridCol w:w="1120"/>
        <w:gridCol w:w="960"/>
        <w:gridCol w:w="960"/>
        <w:gridCol w:w="960"/>
        <w:gridCol w:w="960"/>
        <w:gridCol w:w="960"/>
        <w:gridCol w:w="960"/>
        <w:gridCol w:w="960"/>
      </w:tblGrid>
      <w:tr w:rsidR="00C67B4C" w:rsidRPr="00C67B4C" w:rsidTr="00C67B4C">
        <w:trPr>
          <w:trHeight w:val="300"/>
        </w:trPr>
        <w:tc>
          <w:tcPr>
            <w:tcW w:w="1120" w:type="dxa"/>
            <w:tcBorders>
              <w:top w:val="single" w:sz="4" w:space="0" w:color="auto"/>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rPr>
                <w:rFonts w:ascii="Calibri" w:eastAsia="Times New Roman" w:hAnsi="Calibri" w:cs="Times New Roman"/>
                <w:b/>
                <w:bCs/>
                <w:color w:val="000000"/>
                <w:lang w:eastAsia="pt-BR"/>
              </w:rPr>
            </w:pPr>
            <w:r w:rsidRPr="00C67B4C">
              <w:rPr>
                <w:rFonts w:ascii="Calibri" w:eastAsia="Times New Roman" w:hAnsi="Calibri" w:cs="Times New Roman"/>
                <w:b/>
                <w:bCs/>
                <w:color w:val="000000"/>
                <w:lang w:eastAsia="pt-BR"/>
              </w:rPr>
              <w:t>Question</w:t>
            </w:r>
          </w:p>
        </w:tc>
        <w:tc>
          <w:tcPr>
            <w:tcW w:w="960" w:type="dxa"/>
            <w:tcBorders>
              <w:top w:val="single" w:sz="4" w:space="0" w:color="auto"/>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b/>
                <w:bCs/>
                <w:color w:val="000000"/>
                <w:lang w:eastAsia="pt-BR"/>
              </w:rPr>
            </w:pPr>
            <w:r w:rsidRPr="00C67B4C">
              <w:rPr>
                <w:rFonts w:ascii="Calibri" w:eastAsia="Times New Roman" w:hAnsi="Calibri" w:cs="Times New Roman"/>
                <w:b/>
                <w:bCs/>
                <w:color w:val="000000"/>
                <w:lang w:eastAsia="pt-BR"/>
              </w:rPr>
              <w:t>Median</w:t>
            </w:r>
          </w:p>
        </w:tc>
        <w:tc>
          <w:tcPr>
            <w:tcW w:w="1920" w:type="dxa"/>
            <w:gridSpan w:val="2"/>
            <w:tcBorders>
              <w:top w:val="single" w:sz="4" w:space="0" w:color="auto"/>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b/>
                <w:bCs/>
                <w:color w:val="000000"/>
                <w:lang w:eastAsia="pt-BR"/>
              </w:rPr>
            </w:pPr>
            <w:r w:rsidRPr="00C67B4C">
              <w:rPr>
                <w:rFonts w:ascii="Calibri" w:eastAsia="Times New Roman" w:hAnsi="Calibri" w:cs="Times New Roman"/>
                <w:b/>
                <w:bCs/>
                <w:color w:val="000000"/>
                <w:lang w:eastAsia="pt-BR"/>
              </w:rPr>
              <w:t>IQR range</w:t>
            </w:r>
          </w:p>
        </w:tc>
        <w:tc>
          <w:tcPr>
            <w:tcW w:w="960" w:type="dxa"/>
            <w:tcBorders>
              <w:top w:val="single" w:sz="4" w:space="0" w:color="auto"/>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b/>
                <w:bCs/>
                <w:color w:val="000000"/>
                <w:lang w:eastAsia="pt-BR"/>
              </w:rPr>
            </w:pPr>
            <w:r w:rsidRPr="00C67B4C">
              <w:rPr>
                <w:rFonts w:ascii="Calibri" w:eastAsia="Times New Roman" w:hAnsi="Calibri" w:cs="Times New Roman"/>
                <w:b/>
                <w:bCs/>
                <w:color w:val="000000"/>
                <w:lang w:eastAsia="pt-BR"/>
              </w:rPr>
              <w:t>Min</w:t>
            </w:r>
          </w:p>
        </w:tc>
        <w:tc>
          <w:tcPr>
            <w:tcW w:w="960" w:type="dxa"/>
            <w:tcBorders>
              <w:top w:val="single" w:sz="4" w:space="0" w:color="auto"/>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b/>
                <w:bCs/>
                <w:color w:val="000000"/>
                <w:lang w:eastAsia="pt-BR"/>
              </w:rPr>
            </w:pPr>
            <w:r w:rsidRPr="00C67B4C">
              <w:rPr>
                <w:rFonts w:ascii="Calibri" w:eastAsia="Times New Roman" w:hAnsi="Calibri" w:cs="Times New Roman"/>
                <w:b/>
                <w:bCs/>
                <w:color w:val="000000"/>
                <w:lang w:eastAsia="pt-BR"/>
              </w:rPr>
              <w:t>Max</w:t>
            </w:r>
          </w:p>
        </w:tc>
        <w:tc>
          <w:tcPr>
            <w:tcW w:w="960" w:type="dxa"/>
            <w:tcBorders>
              <w:top w:val="single" w:sz="4" w:space="0" w:color="auto"/>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b/>
                <w:bCs/>
                <w:color w:val="000000"/>
                <w:lang w:eastAsia="pt-BR"/>
              </w:rPr>
            </w:pPr>
            <w:r w:rsidRPr="00C67B4C">
              <w:rPr>
                <w:rFonts w:ascii="Calibri" w:eastAsia="Times New Roman" w:hAnsi="Calibri" w:cs="Times New Roman"/>
                <w:b/>
                <w:bCs/>
                <w:color w:val="000000"/>
                <w:lang w:eastAsia="pt-BR"/>
              </w:rPr>
              <w:t>Mean</w:t>
            </w:r>
          </w:p>
        </w:tc>
        <w:tc>
          <w:tcPr>
            <w:tcW w:w="960" w:type="dxa"/>
            <w:tcBorders>
              <w:top w:val="single" w:sz="4" w:space="0" w:color="auto"/>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b/>
                <w:bCs/>
                <w:color w:val="000000"/>
                <w:lang w:eastAsia="pt-BR"/>
              </w:rPr>
            </w:pPr>
            <w:r w:rsidRPr="00C67B4C">
              <w:rPr>
                <w:rFonts w:ascii="Calibri" w:eastAsia="Times New Roman" w:hAnsi="Calibri" w:cs="Times New Roman"/>
                <w:b/>
                <w:bCs/>
                <w:color w:val="000000"/>
                <w:lang w:eastAsia="pt-BR"/>
              </w:rPr>
              <w:t>SD</w:t>
            </w:r>
          </w:p>
        </w:tc>
      </w:tr>
      <w:tr w:rsidR="00C67B4C" w:rsidRPr="00C67B4C" w:rsidTr="00C67B4C">
        <w:trPr>
          <w:trHeight w:val="300"/>
        </w:trPr>
        <w:tc>
          <w:tcPr>
            <w:tcW w:w="112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Question 1</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0,77</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0,70</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0,83</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0,60</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0,92</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0,76</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0,08</w:t>
            </w:r>
          </w:p>
        </w:tc>
      </w:tr>
      <w:tr w:rsidR="00C67B4C" w:rsidRPr="00C67B4C" w:rsidTr="00C67B4C">
        <w:trPr>
          <w:trHeight w:val="300"/>
        </w:trPr>
        <w:tc>
          <w:tcPr>
            <w:tcW w:w="112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Question 2</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0,74</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0,70</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0,81</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0,54</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0,91</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0,75</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0,09</w:t>
            </w:r>
          </w:p>
        </w:tc>
      </w:tr>
      <w:tr w:rsidR="00C67B4C" w:rsidRPr="00C67B4C" w:rsidTr="00C67B4C">
        <w:trPr>
          <w:trHeight w:val="300"/>
        </w:trPr>
        <w:tc>
          <w:tcPr>
            <w:tcW w:w="112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Question 3</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0,84</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0,78</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0,93</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0,58</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0,98</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0,84</w:t>
            </w:r>
          </w:p>
        </w:tc>
        <w:tc>
          <w:tcPr>
            <w:tcW w:w="960" w:type="dxa"/>
            <w:tcBorders>
              <w:top w:val="nil"/>
              <w:left w:val="nil"/>
              <w:bottom w:val="nil"/>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0,10</w:t>
            </w:r>
          </w:p>
        </w:tc>
      </w:tr>
      <w:tr w:rsidR="00C67B4C" w:rsidRPr="00C67B4C" w:rsidTr="00C67B4C">
        <w:trPr>
          <w:trHeight w:val="300"/>
        </w:trPr>
        <w:tc>
          <w:tcPr>
            <w:tcW w:w="1120" w:type="dxa"/>
            <w:tcBorders>
              <w:top w:val="nil"/>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Question 4</w:t>
            </w:r>
          </w:p>
        </w:tc>
        <w:tc>
          <w:tcPr>
            <w:tcW w:w="960" w:type="dxa"/>
            <w:tcBorders>
              <w:top w:val="nil"/>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0,52</w:t>
            </w:r>
          </w:p>
        </w:tc>
        <w:tc>
          <w:tcPr>
            <w:tcW w:w="960" w:type="dxa"/>
            <w:tcBorders>
              <w:top w:val="nil"/>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0,36</w:t>
            </w:r>
          </w:p>
        </w:tc>
        <w:tc>
          <w:tcPr>
            <w:tcW w:w="960" w:type="dxa"/>
            <w:tcBorders>
              <w:top w:val="nil"/>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0,60</w:t>
            </w:r>
          </w:p>
        </w:tc>
        <w:tc>
          <w:tcPr>
            <w:tcW w:w="960" w:type="dxa"/>
            <w:tcBorders>
              <w:top w:val="nil"/>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0,11</w:t>
            </w:r>
          </w:p>
        </w:tc>
        <w:tc>
          <w:tcPr>
            <w:tcW w:w="960" w:type="dxa"/>
            <w:tcBorders>
              <w:top w:val="nil"/>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0,80</w:t>
            </w:r>
          </w:p>
        </w:tc>
        <w:tc>
          <w:tcPr>
            <w:tcW w:w="960" w:type="dxa"/>
            <w:tcBorders>
              <w:top w:val="nil"/>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0,48</w:t>
            </w:r>
          </w:p>
        </w:tc>
        <w:tc>
          <w:tcPr>
            <w:tcW w:w="960" w:type="dxa"/>
            <w:tcBorders>
              <w:top w:val="nil"/>
              <w:left w:val="nil"/>
              <w:bottom w:val="single" w:sz="4" w:space="0" w:color="auto"/>
              <w:right w:val="nil"/>
            </w:tcBorders>
            <w:shd w:val="clear" w:color="auto" w:fill="auto"/>
            <w:noWrap/>
            <w:vAlign w:val="bottom"/>
            <w:hideMark/>
          </w:tcPr>
          <w:p w:rsidR="00C67B4C" w:rsidRPr="00C67B4C" w:rsidRDefault="00C67B4C" w:rsidP="00C67B4C">
            <w:pPr>
              <w:spacing w:after="0" w:line="240" w:lineRule="auto"/>
              <w:jc w:val="center"/>
              <w:rPr>
                <w:rFonts w:ascii="Calibri" w:eastAsia="Times New Roman" w:hAnsi="Calibri" w:cs="Times New Roman"/>
                <w:color w:val="000000"/>
                <w:lang w:eastAsia="pt-BR"/>
              </w:rPr>
            </w:pPr>
            <w:r w:rsidRPr="00C67B4C">
              <w:rPr>
                <w:rFonts w:ascii="Calibri" w:eastAsia="Times New Roman" w:hAnsi="Calibri" w:cs="Times New Roman"/>
                <w:color w:val="000000"/>
                <w:lang w:eastAsia="pt-BR"/>
              </w:rPr>
              <w:t>0,16</w:t>
            </w:r>
          </w:p>
        </w:tc>
      </w:tr>
    </w:tbl>
    <w:p w:rsidR="00C67B4C" w:rsidRDefault="00C67B4C">
      <w:pPr>
        <w:rPr>
          <w:lang w:val="en-US"/>
        </w:rPr>
      </w:pPr>
    </w:p>
    <w:p w:rsidR="00C67B4C" w:rsidRDefault="00C67B4C">
      <w:pPr>
        <w:rPr>
          <w:lang w:val="en-US"/>
        </w:rPr>
      </w:pPr>
    </w:p>
    <w:p w:rsidR="00A13B95" w:rsidRDefault="00A13B95">
      <w:pPr>
        <w:rPr>
          <w:lang w:val="en-US"/>
        </w:rPr>
      </w:pPr>
      <w:r>
        <w:rPr>
          <w:lang w:val="en-US"/>
        </w:rPr>
        <w:br w:type="page"/>
      </w:r>
    </w:p>
    <w:p w:rsidR="00387AF0" w:rsidRDefault="00747C46" w:rsidP="00387AF0">
      <w:pPr>
        <w:rPr>
          <w:lang w:val="en-US"/>
        </w:rPr>
      </w:pPr>
      <w:proofErr w:type="spellStart"/>
      <w:r>
        <w:rPr>
          <w:b/>
          <w:lang w:val="en-US"/>
        </w:rPr>
        <w:lastRenderedPageBreak/>
        <w:t>eAppendix</w:t>
      </w:r>
      <w:proofErr w:type="spellEnd"/>
      <w:r>
        <w:rPr>
          <w:b/>
          <w:lang w:val="en-US"/>
        </w:rPr>
        <w:t xml:space="preserve"> 1</w:t>
      </w:r>
      <w:r w:rsidR="00387AF0" w:rsidRPr="00C67B4C">
        <w:rPr>
          <w:b/>
          <w:lang w:val="en-US"/>
        </w:rPr>
        <w:t>.</w:t>
      </w:r>
      <w:r w:rsidR="00387AF0">
        <w:rPr>
          <w:lang w:val="en-US"/>
        </w:rPr>
        <w:t xml:space="preserve"> ICU triage tool algorithm</w:t>
      </w:r>
      <w:r w:rsidR="00601B3C">
        <w:rPr>
          <w:lang w:val="en-US"/>
        </w:rPr>
        <w:t xml:space="preserve"> framework</w:t>
      </w:r>
      <w:r w:rsidR="005D4729">
        <w:rPr>
          <w:lang w:val="en-US"/>
        </w:rPr>
        <w:t xml:space="preserve"> (Q1 = question 1; Q2 = question 2; Q3 = question 3; Q4 = question 4</w:t>
      </w:r>
      <w:r w:rsidR="005F402B">
        <w:rPr>
          <w:lang w:val="en-US"/>
        </w:rPr>
        <w:t>; P1 = priority 1</w:t>
      </w:r>
      <w:r w:rsidR="005D4729">
        <w:rPr>
          <w:lang w:val="en-US"/>
        </w:rPr>
        <w:t>)</w:t>
      </w:r>
    </w:p>
    <w:p w:rsidR="00387AF0" w:rsidRDefault="00387AF0" w:rsidP="005961F3">
      <w:pPr>
        <w:rPr>
          <w:lang w:val="en-US"/>
        </w:rPr>
      </w:pPr>
    </w:p>
    <w:p w:rsidR="00747C46" w:rsidRDefault="005F402B" w:rsidP="005961F3">
      <w:pPr>
        <w:rPr>
          <w:lang w:val="en-US"/>
        </w:rPr>
      </w:pPr>
      <w:r>
        <w:rPr>
          <w:noProof/>
          <w:lang w:val="en-US"/>
        </w:rPr>
        <w:drawing>
          <wp:inline distT="0" distB="0" distL="0" distR="0">
            <wp:extent cx="6210300" cy="389509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Appendix1.jpg"/>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210300" cy="3895090"/>
                    </a:xfrm>
                    <a:prstGeom prst="rect">
                      <a:avLst/>
                    </a:prstGeom>
                  </pic:spPr>
                </pic:pic>
              </a:graphicData>
            </a:graphic>
          </wp:inline>
        </w:drawing>
      </w:r>
    </w:p>
    <w:p w:rsidR="00747C46" w:rsidRDefault="00747C46" w:rsidP="005961F3">
      <w:pPr>
        <w:rPr>
          <w:lang w:val="en-US"/>
        </w:rPr>
      </w:pPr>
    </w:p>
    <w:p w:rsidR="00C306B4" w:rsidRDefault="00C306B4" w:rsidP="005961F3">
      <w:pPr>
        <w:rPr>
          <w:lang w:val="en-US"/>
        </w:rPr>
      </w:pPr>
    </w:p>
    <w:p w:rsidR="007D0F1A" w:rsidRDefault="007D0F1A" w:rsidP="007D0F1A">
      <w:pPr>
        <w:widowControl w:val="0"/>
        <w:autoSpaceDE w:val="0"/>
        <w:autoSpaceDN w:val="0"/>
        <w:adjustRightInd w:val="0"/>
        <w:spacing w:after="0" w:line="240" w:lineRule="auto"/>
        <w:rPr>
          <w:lang w:val="en-US"/>
        </w:rPr>
      </w:pPr>
      <w:r>
        <w:rPr>
          <w:lang w:val="en-US"/>
        </w:rPr>
        <w:t xml:space="preserve">Example: </w:t>
      </w:r>
    </w:p>
    <w:p w:rsidR="007D0F1A" w:rsidRPr="007D0F1A" w:rsidRDefault="00E0146C" w:rsidP="007D0F1A">
      <w:pPr>
        <w:widowControl w:val="0"/>
        <w:autoSpaceDE w:val="0"/>
        <w:autoSpaceDN w:val="0"/>
        <w:adjustRightInd w:val="0"/>
        <w:spacing w:after="0" w:line="240" w:lineRule="auto"/>
        <w:rPr>
          <w:rFonts w:ascii="Courier New" w:hAnsi="Courier New" w:cs="Courier New"/>
          <w:lang w:val="en-US"/>
        </w:rPr>
      </w:pPr>
      <w:r>
        <w:rPr>
          <w:rFonts w:ascii="Courier New" w:hAnsi="Courier New" w:cs="Courier New"/>
          <w:lang w:val="en-US"/>
        </w:rPr>
        <w:t>IF Question1 =1 AND Question2 =1 AND Question3 =1 AND Question</w:t>
      </w:r>
      <w:r w:rsidR="007D0F1A" w:rsidRPr="007D0F1A">
        <w:rPr>
          <w:rFonts w:ascii="Courier New" w:hAnsi="Courier New" w:cs="Courier New"/>
          <w:lang w:val="en-US"/>
        </w:rPr>
        <w:t>4 =1 THEN</w:t>
      </w:r>
    </w:p>
    <w:p w:rsidR="007D0F1A" w:rsidRPr="005F402B" w:rsidRDefault="007D0F1A" w:rsidP="007D0F1A">
      <w:pPr>
        <w:widowControl w:val="0"/>
        <w:autoSpaceDE w:val="0"/>
        <w:autoSpaceDN w:val="0"/>
        <w:adjustRightInd w:val="0"/>
        <w:spacing w:after="0" w:line="240" w:lineRule="auto"/>
        <w:rPr>
          <w:rFonts w:ascii="Courier New" w:hAnsi="Courier New" w:cs="Courier New"/>
          <w:lang w:val="en-US"/>
        </w:rPr>
      </w:pPr>
      <w:r w:rsidRPr="007D0F1A">
        <w:rPr>
          <w:rFonts w:ascii="Courier New" w:hAnsi="Courier New" w:cs="Courier New"/>
          <w:lang w:val="en-US"/>
        </w:rPr>
        <w:tab/>
      </w:r>
      <w:r w:rsidR="00E0146C">
        <w:rPr>
          <w:rFonts w:ascii="Courier New" w:hAnsi="Courier New" w:cs="Courier New"/>
          <w:lang w:val="en-US"/>
        </w:rPr>
        <w:t>ASSIGN PRIORITY</w:t>
      </w:r>
      <w:r w:rsidRPr="005F402B">
        <w:rPr>
          <w:rFonts w:ascii="Courier New" w:hAnsi="Courier New" w:cs="Courier New"/>
          <w:lang w:val="en-US"/>
        </w:rPr>
        <w:t xml:space="preserve"> =1</w:t>
      </w:r>
    </w:p>
    <w:p w:rsidR="00747C46" w:rsidRDefault="00747C46">
      <w:pPr>
        <w:rPr>
          <w:lang w:val="en-US"/>
        </w:rPr>
      </w:pPr>
      <w:r>
        <w:rPr>
          <w:lang w:val="en-US"/>
        </w:rPr>
        <w:br w:type="page"/>
      </w:r>
    </w:p>
    <w:p w:rsidR="00747C46" w:rsidRDefault="00747C46" w:rsidP="00747C46">
      <w:pPr>
        <w:rPr>
          <w:lang w:val="en-US"/>
        </w:rPr>
      </w:pPr>
      <w:proofErr w:type="spellStart"/>
      <w:r>
        <w:rPr>
          <w:b/>
          <w:lang w:val="en-US"/>
        </w:rPr>
        <w:lastRenderedPageBreak/>
        <w:t>eAppendix</w:t>
      </w:r>
      <w:proofErr w:type="spellEnd"/>
      <w:r>
        <w:rPr>
          <w:b/>
          <w:lang w:val="en-US"/>
        </w:rPr>
        <w:t xml:space="preserve"> 2</w:t>
      </w:r>
      <w:r w:rsidRPr="00C67B4C">
        <w:rPr>
          <w:b/>
          <w:lang w:val="en-US"/>
        </w:rPr>
        <w:t>.</w:t>
      </w:r>
      <w:r>
        <w:rPr>
          <w:lang w:val="en-US"/>
        </w:rPr>
        <w:t xml:space="preserve"> </w:t>
      </w:r>
      <w:bookmarkStart w:id="0" w:name="_GoBack"/>
      <w:bookmarkEnd w:id="0"/>
      <w:r>
        <w:rPr>
          <w:lang w:val="en-US"/>
        </w:rPr>
        <w:t>English translation of vignettes samples</w:t>
      </w:r>
    </w:p>
    <w:p w:rsidR="00747C46" w:rsidRDefault="00747C46" w:rsidP="00747C46">
      <w:pPr>
        <w:rPr>
          <w:lang w:val="en-US"/>
        </w:rPr>
      </w:pPr>
    </w:p>
    <w:p w:rsidR="00747C46" w:rsidRPr="001F46E5" w:rsidRDefault="00747C46" w:rsidP="00747C46">
      <w:pPr>
        <w:rPr>
          <w:b/>
          <w:lang w:val="en-US"/>
        </w:rPr>
      </w:pPr>
      <w:r w:rsidRPr="001F46E5">
        <w:rPr>
          <w:b/>
          <w:lang w:val="en-US"/>
        </w:rPr>
        <w:t>Vignette sample Priority 1</w:t>
      </w:r>
    </w:p>
    <w:p w:rsidR="00747C46" w:rsidRDefault="00747C46" w:rsidP="00747C46">
      <w:pPr>
        <w:rPr>
          <w:lang w:val="en-US"/>
        </w:rPr>
      </w:pPr>
      <w:r>
        <w:rPr>
          <w:lang w:val="en-US"/>
        </w:rPr>
        <w:t>Female patient, 37 years-old, admitted in the hospital 3 days ago. Previous history of chronic kidney disease for 12 years was submitted to a kidney transplant (dead donor) 3 days ago, still in need of renal replacement therapy in the second post-operative day. Functionally independent for activities of daily living. Today, during dialysis, she developed sudden hypotension, associated with hemorrhagic drainage from surgical drains. Surgical team is aware and in the way. ICU admission was requested for somnolence, shock in use of vasopressors and need for urgent hemodialysis and surgical evaluation.</w:t>
      </w:r>
    </w:p>
    <w:p w:rsidR="00747C46" w:rsidRDefault="00747C46" w:rsidP="00747C46">
      <w:pPr>
        <w:rPr>
          <w:lang w:val="en-US"/>
        </w:rPr>
      </w:pPr>
    </w:p>
    <w:p w:rsidR="00747C46" w:rsidRPr="001F46E5" w:rsidRDefault="00747C46" w:rsidP="00747C46">
      <w:pPr>
        <w:rPr>
          <w:b/>
          <w:lang w:val="en-US"/>
        </w:rPr>
      </w:pPr>
      <w:r w:rsidRPr="001F46E5">
        <w:rPr>
          <w:b/>
          <w:lang w:val="en-US"/>
        </w:rPr>
        <w:t>Vignette sample Priority 2</w:t>
      </w:r>
    </w:p>
    <w:p w:rsidR="00747C46" w:rsidRDefault="00747C46" w:rsidP="00747C46">
      <w:pPr>
        <w:rPr>
          <w:lang w:val="en-US"/>
        </w:rPr>
      </w:pPr>
      <w:r>
        <w:rPr>
          <w:lang w:val="en-US"/>
        </w:rPr>
        <w:t xml:space="preserve">Female patient, 16 years-old, admitted in the hospital hours ago. Previous history of splenectomy secondary to trauma 5 years ago and a cesarean delivery 21 days ago. Functionally independent for activities of daily living. She was admitted with a history of fever and abdominal pain, with a diagnosis of endometritis after complimentary evaluation. She is awake, not hypotensive, mild </w:t>
      </w:r>
      <w:proofErr w:type="spellStart"/>
      <w:r>
        <w:rPr>
          <w:lang w:val="en-US"/>
        </w:rPr>
        <w:t>tachycardic</w:t>
      </w:r>
      <w:proofErr w:type="spellEnd"/>
      <w:r>
        <w:rPr>
          <w:lang w:val="en-US"/>
        </w:rPr>
        <w:t xml:space="preserve"> with remaining vital signs normal, but has an altered arterial lactate level. Treatment was begun in the emergency room and ICU admission was requested for severe sepsis, without need for artificial life support at this moment.</w:t>
      </w:r>
    </w:p>
    <w:p w:rsidR="00747C46" w:rsidRDefault="00747C46" w:rsidP="00747C46">
      <w:pPr>
        <w:rPr>
          <w:lang w:val="en-US"/>
        </w:rPr>
      </w:pPr>
    </w:p>
    <w:p w:rsidR="00747C46" w:rsidRPr="001F46E5" w:rsidRDefault="00747C46" w:rsidP="00747C46">
      <w:pPr>
        <w:rPr>
          <w:b/>
          <w:lang w:val="en-US"/>
        </w:rPr>
      </w:pPr>
      <w:r w:rsidRPr="001F46E5">
        <w:rPr>
          <w:b/>
          <w:lang w:val="en-US"/>
        </w:rPr>
        <w:t>Vignette sample Priority 3</w:t>
      </w:r>
    </w:p>
    <w:p w:rsidR="00747C46" w:rsidRDefault="00747C46" w:rsidP="00747C46">
      <w:pPr>
        <w:rPr>
          <w:lang w:val="en-US"/>
        </w:rPr>
      </w:pPr>
      <w:r>
        <w:rPr>
          <w:lang w:val="en-US"/>
        </w:rPr>
        <w:t xml:space="preserve">Male patient, 59 years, admitted to the hospital two weeks ago. Previous history of smoking and alcohol use, but has quit both 13 years ago. Previously independent for activities of daily living. He was admitted for evaluation of a cholestatic syndrome and weight loss of 13kg, with partial loss of functional independence. Workup revealed a diagnosis of cholangiocarcinoma. The tumor is not amenable to curative therapy or chemotherapy at this moment, so he was submitted to a </w:t>
      </w:r>
      <w:r w:rsidR="00785EF0">
        <w:rPr>
          <w:lang w:val="en-US"/>
        </w:rPr>
        <w:t xml:space="preserve">palliative </w:t>
      </w:r>
      <w:r>
        <w:rPr>
          <w:lang w:val="en-US"/>
        </w:rPr>
        <w:t xml:space="preserve">percutaneous </w:t>
      </w:r>
      <w:proofErr w:type="spellStart"/>
      <w:r>
        <w:rPr>
          <w:lang w:val="en-US"/>
        </w:rPr>
        <w:t>transhepatic</w:t>
      </w:r>
      <w:proofErr w:type="spellEnd"/>
      <w:r>
        <w:rPr>
          <w:lang w:val="en-US"/>
        </w:rPr>
        <w:t xml:space="preserve"> biliary drainage. After the procedure he developed hypotension with hemorrhagic drainage from surgical drains, with the need for vasopressors. ICU admission was requested for hemorrhagic shock in need for vasopressors.</w:t>
      </w:r>
    </w:p>
    <w:p w:rsidR="00747C46" w:rsidRDefault="00747C46" w:rsidP="00747C46">
      <w:pPr>
        <w:rPr>
          <w:lang w:val="en-US"/>
        </w:rPr>
      </w:pPr>
    </w:p>
    <w:p w:rsidR="00747C46" w:rsidRPr="001F46E5" w:rsidRDefault="00747C46" w:rsidP="00747C46">
      <w:pPr>
        <w:rPr>
          <w:b/>
          <w:lang w:val="en-US"/>
        </w:rPr>
      </w:pPr>
      <w:r w:rsidRPr="001F46E5">
        <w:rPr>
          <w:b/>
          <w:lang w:val="en-US"/>
        </w:rPr>
        <w:t>Vignette sample Priority 4</w:t>
      </w:r>
    </w:p>
    <w:p w:rsidR="00747C46" w:rsidRDefault="00747C46" w:rsidP="00747C46">
      <w:pPr>
        <w:rPr>
          <w:lang w:val="en-US"/>
        </w:rPr>
      </w:pPr>
      <w:r>
        <w:rPr>
          <w:lang w:val="en-US"/>
        </w:rPr>
        <w:t xml:space="preserve">Female patient, 68 years-old, admitted in the hospital two weeks ago. Previous history of bladder cancer with cystectomy 5 years ago and advanced Alzheimer’s disease. Completely dependent for activities of daily living. She was admitted in the hospital for treatment of an </w:t>
      </w:r>
      <w:proofErr w:type="spellStart"/>
      <w:r>
        <w:rPr>
          <w:lang w:val="en-US"/>
        </w:rPr>
        <w:t>aspirative</w:t>
      </w:r>
      <w:proofErr w:type="spellEnd"/>
      <w:r>
        <w:rPr>
          <w:lang w:val="en-US"/>
        </w:rPr>
        <w:t xml:space="preserve"> pneumonia and is evolving with worsening of the infection and has developed non-oliguric acute kidney injury and worsening of somnolence. ICU admission was requested for neurological and respiratory monitoring, without need for artificial life support at this moment.</w:t>
      </w:r>
    </w:p>
    <w:p w:rsidR="00747C46" w:rsidRDefault="00747C46" w:rsidP="005961F3">
      <w:pPr>
        <w:rPr>
          <w:lang w:val="en-US"/>
        </w:rPr>
      </w:pPr>
    </w:p>
    <w:p w:rsidR="00747C46" w:rsidRDefault="00747C46" w:rsidP="005961F3">
      <w:pPr>
        <w:rPr>
          <w:lang w:val="en-US"/>
        </w:rPr>
      </w:pPr>
    </w:p>
    <w:p w:rsidR="00747C46" w:rsidRDefault="00747C46" w:rsidP="005961F3">
      <w:pPr>
        <w:rPr>
          <w:lang w:val="en-US"/>
        </w:rPr>
      </w:pPr>
    </w:p>
    <w:p w:rsidR="00747C46" w:rsidRPr="00C67B4C" w:rsidRDefault="00747C46" w:rsidP="005961F3">
      <w:pPr>
        <w:rPr>
          <w:lang w:val="en-US"/>
        </w:rPr>
      </w:pPr>
    </w:p>
    <w:sectPr w:rsidR="00747C46" w:rsidRPr="00C67B4C" w:rsidSect="00A13B95">
      <w:pgSz w:w="11906" w:h="16838"/>
      <w:pgMar w:top="1417" w:right="1133" w:bottom="1417"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9160C"/>
    <w:rsid w:val="00192B2D"/>
    <w:rsid w:val="0019437F"/>
    <w:rsid w:val="001E42E6"/>
    <w:rsid w:val="001F46E5"/>
    <w:rsid w:val="00202C2C"/>
    <w:rsid w:val="00290ED8"/>
    <w:rsid w:val="00387AF0"/>
    <w:rsid w:val="00531532"/>
    <w:rsid w:val="005961F3"/>
    <w:rsid w:val="005D4729"/>
    <w:rsid w:val="005F402B"/>
    <w:rsid w:val="00601B3C"/>
    <w:rsid w:val="00663F8C"/>
    <w:rsid w:val="006921DB"/>
    <w:rsid w:val="006D1910"/>
    <w:rsid w:val="00747C46"/>
    <w:rsid w:val="00785EF0"/>
    <w:rsid w:val="00796221"/>
    <w:rsid w:val="007D0F1A"/>
    <w:rsid w:val="00896AD7"/>
    <w:rsid w:val="009372BE"/>
    <w:rsid w:val="0099160C"/>
    <w:rsid w:val="00A1147B"/>
    <w:rsid w:val="00A13B95"/>
    <w:rsid w:val="00AF752B"/>
    <w:rsid w:val="00C306B4"/>
    <w:rsid w:val="00C67B4C"/>
    <w:rsid w:val="00CC6C27"/>
    <w:rsid w:val="00DF1F61"/>
    <w:rsid w:val="00E0146C"/>
    <w:rsid w:val="00E37260"/>
    <w:rsid w:val="00E74F65"/>
    <w:rsid w:val="00F11AC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2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06B4"/>
    <w:pPr>
      <w:spacing w:before="100" w:beforeAutospacing="1" w:after="100" w:afterAutospacing="1" w:line="240" w:lineRule="auto"/>
    </w:pPr>
    <w:rPr>
      <w:rFonts w:ascii="Times New Roman" w:eastAsiaTheme="minorEastAsia"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84956316">
      <w:bodyDiv w:val="1"/>
      <w:marLeft w:val="0"/>
      <w:marRight w:val="0"/>
      <w:marTop w:val="0"/>
      <w:marBottom w:val="0"/>
      <w:divBdr>
        <w:top w:val="none" w:sz="0" w:space="0" w:color="auto"/>
        <w:left w:val="none" w:sz="0" w:space="0" w:color="auto"/>
        <w:bottom w:val="none" w:sz="0" w:space="0" w:color="auto"/>
        <w:right w:val="none" w:sz="0" w:space="0" w:color="auto"/>
      </w:divBdr>
    </w:div>
    <w:div w:id="109133355">
      <w:bodyDiv w:val="1"/>
      <w:marLeft w:val="0"/>
      <w:marRight w:val="0"/>
      <w:marTop w:val="0"/>
      <w:marBottom w:val="0"/>
      <w:divBdr>
        <w:top w:val="none" w:sz="0" w:space="0" w:color="auto"/>
        <w:left w:val="none" w:sz="0" w:space="0" w:color="auto"/>
        <w:bottom w:val="none" w:sz="0" w:space="0" w:color="auto"/>
        <w:right w:val="none" w:sz="0" w:space="0" w:color="auto"/>
      </w:divBdr>
    </w:div>
    <w:div w:id="98326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5</Pages>
  <Words>721</Words>
  <Characters>4111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Ramos</dc:creator>
  <cp:keywords/>
  <dc:description/>
  <cp:lastModifiedBy>dbalinda</cp:lastModifiedBy>
  <cp:revision>28</cp:revision>
  <dcterms:created xsi:type="dcterms:W3CDTF">2015-12-17T01:39:00Z</dcterms:created>
  <dcterms:modified xsi:type="dcterms:W3CDTF">2016-03-10T05:53:00Z</dcterms:modified>
</cp:coreProperties>
</file>