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F7F" w:rsidRPr="00485971" w:rsidRDefault="00683D77" w:rsidP="00311F7F">
      <w:pPr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>Additional file 3</w:t>
      </w:r>
      <w:r w:rsidR="00311F7F">
        <w:rPr>
          <w:rFonts w:ascii="Times" w:hAnsi="Times" w:cs="Times New Roman"/>
          <w:sz w:val="24"/>
          <w:szCs w:val="24"/>
        </w:rPr>
        <w:t>.</w:t>
      </w:r>
      <w:r w:rsidR="00311F7F" w:rsidRPr="00485971">
        <w:rPr>
          <w:rFonts w:ascii="Times" w:hAnsi="Times" w:cs="Times New Roman"/>
          <w:sz w:val="24"/>
          <w:szCs w:val="24"/>
        </w:rPr>
        <w:t xml:space="preserve"> Associations of Biomarkers with AKI (any stage)</w:t>
      </w:r>
      <w:r w:rsidR="00311F7F">
        <w:rPr>
          <w:rFonts w:ascii="Times" w:hAnsi="Times" w:cs="Times New Roman"/>
          <w:sz w:val="24"/>
          <w:szCs w:val="24"/>
        </w:rPr>
        <w:t xml:space="preserve"> after exclusion of 173 patients with AKI within the first 24 hours of admission</w:t>
      </w:r>
    </w:p>
    <w:tbl>
      <w:tblPr>
        <w:tblStyle w:val="TableGrid"/>
        <w:tblW w:w="10985" w:type="dxa"/>
        <w:tblLook w:val="04A0"/>
      </w:tblPr>
      <w:tblGrid>
        <w:gridCol w:w="1635"/>
        <w:gridCol w:w="2433"/>
        <w:gridCol w:w="2253"/>
        <w:gridCol w:w="2337"/>
        <w:gridCol w:w="2327"/>
      </w:tblGrid>
      <w:tr w:rsidR="00311F7F" w:rsidRPr="005111C4" w:rsidTr="00CA7CE6">
        <w:trPr>
          <w:trHeight w:val="315"/>
        </w:trPr>
        <w:tc>
          <w:tcPr>
            <w:tcW w:w="1635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Biomarkers (SD)</w:t>
            </w:r>
          </w:p>
        </w:tc>
        <w:tc>
          <w:tcPr>
            <w:tcW w:w="2433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Unadjusted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51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 (95%CI)</w:t>
            </w:r>
          </w:p>
        </w:tc>
        <w:tc>
          <w:tcPr>
            <w:tcW w:w="2253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Adjusted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51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 (95%CI)</w:t>
            </w:r>
          </w:p>
        </w:tc>
        <w:tc>
          <w:tcPr>
            <w:tcW w:w="2337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Apache III Adjusted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51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 (95%CI)</w:t>
            </w:r>
          </w:p>
        </w:tc>
        <w:tc>
          <w:tcPr>
            <w:tcW w:w="2327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IL6 Adjusted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51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 (95%CI)</w:t>
            </w:r>
          </w:p>
        </w:tc>
      </w:tr>
      <w:tr w:rsidR="00311F7F" w:rsidRPr="005111C4" w:rsidTr="00CA7CE6">
        <w:trPr>
          <w:trHeight w:val="315"/>
        </w:trPr>
        <w:tc>
          <w:tcPr>
            <w:tcW w:w="1635" w:type="dxa"/>
            <w:noWrap/>
            <w:vAlign w:val="center"/>
          </w:tcPr>
          <w:p w:rsidR="00311F7F" w:rsidRPr="00FC11BB" w:rsidRDefault="00311F7F" w:rsidP="00CA7CE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C11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Endothelial</w:t>
            </w:r>
          </w:p>
        </w:tc>
        <w:tc>
          <w:tcPr>
            <w:tcW w:w="2433" w:type="dxa"/>
            <w:noWrap/>
            <w:vAlign w:val="center"/>
          </w:tcPr>
          <w:p w:rsidR="00311F7F" w:rsidRPr="005111C4" w:rsidRDefault="00311F7F" w:rsidP="00CA7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noWrap/>
            <w:vAlign w:val="center"/>
          </w:tcPr>
          <w:p w:rsidR="00311F7F" w:rsidRPr="005111C4" w:rsidRDefault="00311F7F" w:rsidP="00CA7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noWrap/>
            <w:vAlign w:val="center"/>
          </w:tcPr>
          <w:p w:rsidR="00311F7F" w:rsidRPr="005111C4" w:rsidRDefault="00311F7F" w:rsidP="00CA7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  <w:noWrap/>
            <w:vAlign w:val="center"/>
          </w:tcPr>
          <w:p w:rsidR="00311F7F" w:rsidRPr="005111C4" w:rsidRDefault="00311F7F" w:rsidP="00CA7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1F7F" w:rsidRPr="005111C4" w:rsidTr="00CA7CE6">
        <w:trPr>
          <w:trHeight w:val="315"/>
        </w:trPr>
        <w:tc>
          <w:tcPr>
            <w:tcW w:w="1635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Ang-1</w:t>
            </w:r>
          </w:p>
        </w:tc>
        <w:tc>
          <w:tcPr>
            <w:tcW w:w="2433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.74,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253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337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.87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27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311F7F" w:rsidRPr="005111C4" w:rsidTr="00CA7CE6">
        <w:trPr>
          <w:trHeight w:val="315"/>
        </w:trPr>
        <w:tc>
          <w:tcPr>
            <w:tcW w:w="1635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Ang-2</w:t>
            </w:r>
          </w:p>
        </w:tc>
        <w:tc>
          <w:tcPr>
            <w:tcW w:w="2433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253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4, 1.25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337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 (1.09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327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1.22)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:rsidR="00311F7F" w:rsidRPr="005111C4" w:rsidTr="00CA7CE6">
        <w:trPr>
          <w:trHeight w:val="315"/>
        </w:trPr>
        <w:tc>
          <w:tcPr>
            <w:tcW w:w="1635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Ang-2/Ang-1</w:t>
            </w:r>
          </w:p>
        </w:tc>
        <w:tc>
          <w:tcPr>
            <w:tcW w:w="2433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253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6, 1.14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337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4, 1.11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327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6, 1.14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</w:tr>
      <w:tr w:rsidR="00311F7F" w:rsidRPr="005111C4" w:rsidTr="00CA7CE6">
        <w:trPr>
          <w:trHeight w:val="315"/>
        </w:trPr>
        <w:tc>
          <w:tcPr>
            <w:tcW w:w="1635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sVCAM-1</w:t>
            </w:r>
          </w:p>
        </w:tc>
        <w:tc>
          <w:tcPr>
            <w:tcW w:w="2433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253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(1.09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337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 (1.0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6, 1.21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327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 (1.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:rsidR="00311F7F" w:rsidRPr="005111C4" w:rsidTr="00CA7CE6">
        <w:trPr>
          <w:trHeight w:val="315"/>
        </w:trPr>
        <w:tc>
          <w:tcPr>
            <w:tcW w:w="1635" w:type="dxa"/>
            <w:noWrap/>
            <w:vAlign w:val="center"/>
          </w:tcPr>
          <w:p w:rsidR="00311F7F" w:rsidRPr="00FC11BB" w:rsidRDefault="00311F7F" w:rsidP="00CA7CE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C11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Inflammatory</w:t>
            </w:r>
          </w:p>
        </w:tc>
        <w:tc>
          <w:tcPr>
            <w:tcW w:w="2433" w:type="dxa"/>
            <w:noWrap/>
            <w:vAlign w:val="center"/>
          </w:tcPr>
          <w:p w:rsidR="00311F7F" w:rsidRPr="005111C4" w:rsidRDefault="00311F7F" w:rsidP="00CA7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noWrap/>
            <w:vAlign w:val="center"/>
          </w:tcPr>
          <w:p w:rsidR="00311F7F" w:rsidRPr="005111C4" w:rsidRDefault="00311F7F" w:rsidP="00CA7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noWrap/>
            <w:vAlign w:val="center"/>
          </w:tcPr>
          <w:p w:rsidR="00311F7F" w:rsidRPr="005111C4" w:rsidRDefault="00311F7F" w:rsidP="00CA7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  <w:noWrap/>
            <w:vAlign w:val="center"/>
          </w:tcPr>
          <w:p w:rsidR="00311F7F" w:rsidRPr="005111C4" w:rsidRDefault="00311F7F" w:rsidP="00CA7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1F7F" w:rsidRPr="005111C4" w:rsidTr="00CA7CE6">
        <w:trPr>
          <w:trHeight w:val="315"/>
        </w:trPr>
        <w:tc>
          <w:tcPr>
            <w:tcW w:w="1635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IL-6</w:t>
            </w:r>
          </w:p>
        </w:tc>
        <w:tc>
          <w:tcPr>
            <w:tcW w:w="2433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5, 1.15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253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337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0.97, 1.12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27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1F7F" w:rsidRPr="005111C4" w:rsidTr="00CA7CE6">
        <w:trPr>
          <w:trHeight w:val="315"/>
        </w:trPr>
        <w:tc>
          <w:tcPr>
            <w:tcW w:w="1635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IL-8</w:t>
            </w:r>
          </w:p>
        </w:tc>
        <w:tc>
          <w:tcPr>
            <w:tcW w:w="2433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(0.96, 1.05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53" w:type="dxa"/>
            <w:noWrap/>
            <w:vAlign w:val="center"/>
            <w:hideMark/>
          </w:tcPr>
          <w:p w:rsidR="00311F7F" w:rsidRPr="00117E67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37" w:type="dxa"/>
            <w:noWrap/>
            <w:vAlign w:val="center"/>
            <w:hideMark/>
          </w:tcPr>
          <w:p w:rsidR="00311F7F" w:rsidRPr="00117E67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27" w:type="dxa"/>
            <w:noWrap/>
            <w:vAlign w:val="center"/>
            <w:hideMark/>
          </w:tcPr>
          <w:p w:rsidR="00311F7F" w:rsidRPr="00117E67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11F7F" w:rsidRPr="005111C4" w:rsidTr="00CA7CE6">
        <w:trPr>
          <w:trHeight w:val="315"/>
        </w:trPr>
        <w:tc>
          <w:tcPr>
            <w:tcW w:w="1635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IL-17</w:t>
            </w:r>
          </w:p>
        </w:tc>
        <w:tc>
          <w:tcPr>
            <w:tcW w:w="2433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253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 (1.03, 1.09)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337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 (1.0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0, 1.10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27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 (1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1.07)</w:t>
            </w:r>
          </w:p>
        </w:tc>
      </w:tr>
      <w:tr w:rsidR="00311F7F" w:rsidRPr="005111C4" w:rsidTr="00CA7CE6">
        <w:trPr>
          <w:trHeight w:val="315"/>
        </w:trPr>
        <w:tc>
          <w:tcPr>
            <w:tcW w:w="1635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G-CSF</w:t>
            </w:r>
          </w:p>
        </w:tc>
        <w:tc>
          <w:tcPr>
            <w:tcW w:w="2433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53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37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27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.99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11F7F" w:rsidRPr="005111C4" w:rsidTr="00CA7CE6">
        <w:trPr>
          <w:trHeight w:val="315"/>
        </w:trPr>
        <w:tc>
          <w:tcPr>
            <w:tcW w:w="1635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sTNFR-1</w:t>
            </w:r>
          </w:p>
        </w:tc>
        <w:tc>
          <w:tcPr>
            <w:tcW w:w="2433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253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 (1.11, 1.18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337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09, 1.16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327" w:type="dxa"/>
            <w:noWrap/>
            <w:vAlign w:val="center"/>
            <w:hideMark/>
          </w:tcPr>
          <w:p w:rsidR="00311F7F" w:rsidRPr="005111C4" w:rsidRDefault="00311F7F" w:rsidP="00CA7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5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</w:tbl>
    <w:p w:rsidR="00311F7F" w:rsidRPr="00FF1870" w:rsidRDefault="00311F7F" w:rsidP="00311F7F">
      <w:pPr>
        <w:spacing w:after="0" w:line="240" w:lineRule="auto"/>
        <w:rPr>
          <w:rFonts w:ascii="Times" w:hAnsi="Times" w:cs="Times New Roman"/>
          <w:sz w:val="16"/>
          <w:szCs w:val="16"/>
        </w:rPr>
      </w:pPr>
      <w:r w:rsidRPr="00FF1870">
        <w:rPr>
          <w:rFonts w:ascii="Times" w:hAnsi="Times" w:cs="Times New Roman"/>
          <w:sz w:val="16"/>
          <w:szCs w:val="16"/>
        </w:rPr>
        <w:t>Relative risks presented per standard deviation of each biomarker.</w:t>
      </w:r>
    </w:p>
    <w:p w:rsidR="00311F7F" w:rsidRPr="00FF1870" w:rsidRDefault="00311F7F" w:rsidP="00311F7F">
      <w:pPr>
        <w:spacing w:after="0" w:line="240" w:lineRule="auto"/>
        <w:rPr>
          <w:rFonts w:ascii="Times" w:eastAsia="Times New Roman" w:hAnsi="Times" w:cs="Times New Roman"/>
          <w:color w:val="000000"/>
          <w:sz w:val="16"/>
          <w:szCs w:val="16"/>
        </w:rPr>
      </w:pPr>
      <w:r w:rsidRPr="00FF1870">
        <w:rPr>
          <w:rFonts w:ascii="Times" w:eastAsia="Times New Roman" w:hAnsi="Times" w:cs="Times New Roman"/>
          <w:b/>
          <w:bCs/>
          <w:color w:val="000000"/>
          <w:sz w:val="16"/>
          <w:szCs w:val="16"/>
          <w:vertAlign w:val="superscript"/>
        </w:rPr>
        <w:t>*</w:t>
      </w:r>
      <w:r w:rsidRPr="00FF1870">
        <w:rPr>
          <w:rFonts w:ascii="Times" w:eastAsia="Times New Roman" w:hAnsi="Times" w:cs="Times New Roman"/>
          <w:color w:val="000000"/>
          <w:sz w:val="16"/>
          <w:szCs w:val="16"/>
          <w:vertAlign w:val="superscript"/>
        </w:rPr>
        <w:t xml:space="preserve"> </w:t>
      </w:r>
      <w:r w:rsidRPr="00FF1870">
        <w:rPr>
          <w:rFonts w:ascii="Times" w:eastAsia="Times New Roman" w:hAnsi="Times" w:cs="Times New Roman"/>
          <w:color w:val="000000"/>
          <w:sz w:val="16"/>
          <w:szCs w:val="16"/>
        </w:rPr>
        <w:t>Relative risk regression adjusted for age, gender, sepsis, admitting service (ex: medical = 1, surgical = 0), body mass index, smoking status, diabetes mellitus, chronic renal insufficiency, and cirrhosis</w:t>
      </w:r>
    </w:p>
    <w:p w:rsidR="00311F7F" w:rsidRPr="00FF1870" w:rsidRDefault="00311F7F" w:rsidP="00311F7F">
      <w:pPr>
        <w:spacing w:after="0" w:line="240" w:lineRule="auto"/>
        <w:rPr>
          <w:rFonts w:ascii="Times" w:eastAsia="Times New Roman" w:hAnsi="Times" w:cs="Times New Roman"/>
          <w:color w:val="000000"/>
          <w:sz w:val="16"/>
          <w:szCs w:val="16"/>
        </w:rPr>
      </w:pPr>
      <w:r w:rsidRPr="00FF1870">
        <w:rPr>
          <w:rFonts w:ascii="Times" w:eastAsia="Times New Roman" w:hAnsi="Times" w:cs="Times New Roman"/>
          <w:color w:val="000000"/>
          <w:sz w:val="16"/>
          <w:szCs w:val="16"/>
          <w:vertAlign w:val="superscript"/>
        </w:rPr>
        <w:t xml:space="preserve">† </w:t>
      </w:r>
      <w:r w:rsidRPr="00FF1870">
        <w:rPr>
          <w:rFonts w:ascii="Times" w:eastAsia="Times New Roman" w:hAnsi="Times" w:cs="Times New Roman"/>
          <w:color w:val="000000"/>
          <w:sz w:val="16"/>
          <w:szCs w:val="16"/>
        </w:rPr>
        <w:t xml:space="preserve">Adjusted for APACHE III and covariates in </w:t>
      </w:r>
      <w:r w:rsidRPr="00FF1870">
        <w:rPr>
          <w:rFonts w:ascii="Times" w:eastAsia="Times New Roman" w:hAnsi="Times" w:cs="Times New Roman"/>
          <w:color w:val="000000"/>
          <w:sz w:val="16"/>
          <w:szCs w:val="16"/>
          <w:vertAlign w:val="superscript"/>
        </w:rPr>
        <w:t>*</w:t>
      </w:r>
      <w:r w:rsidRPr="00FF1870">
        <w:rPr>
          <w:rFonts w:ascii="Times" w:eastAsia="Times New Roman" w:hAnsi="Times" w:cs="Times New Roman"/>
          <w:color w:val="000000"/>
          <w:sz w:val="16"/>
          <w:szCs w:val="16"/>
        </w:rPr>
        <w:t>.</w:t>
      </w:r>
    </w:p>
    <w:p w:rsidR="00311F7F" w:rsidRPr="00FF1870" w:rsidRDefault="00311F7F" w:rsidP="00311F7F">
      <w:pPr>
        <w:spacing w:after="0" w:line="240" w:lineRule="auto"/>
        <w:rPr>
          <w:rFonts w:ascii="Times" w:eastAsia="Times New Roman" w:hAnsi="Times" w:cs="Times New Roman"/>
          <w:color w:val="000000"/>
          <w:sz w:val="16"/>
          <w:szCs w:val="16"/>
        </w:rPr>
      </w:pPr>
      <w:r w:rsidRPr="00FF1870">
        <w:rPr>
          <w:rFonts w:ascii="Times" w:eastAsia="Times New Roman" w:hAnsi="Times" w:cs="Times New Roman"/>
          <w:color w:val="000000"/>
          <w:sz w:val="16"/>
          <w:szCs w:val="16"/>
          <w:vertAlign w:val="superscript"/>
        </w:rPr>
        <w:t xml:space="preserve">‡ </w:t>
      </w:r>
      <w:r w:rsidRPr="00FF1870">
        <w:rPr>
          <w:rFonts w:ascii="Times" w:eastAsia="Times New Roman" w:hAnsi="Times" w:cs="Times New Roman"/>
          <w:color w:val="000000"/>
          <w:sz w:val="16"/>
          <w:szCs w:val="16"/>
        </w:rPr>
        <w:t xml:space="preserve">Adjusted for </w:t>
      </w:r>
      <w:proofErr w:type="gramStart"/>
      <w:r w:rsidRPr="00FF1870">
        <w:rPr>
          <w:rFonts w:ascii="Times" w:eastAsia="Times New Roman" w:hAnsi="Times" w:cs="Times New Roman"/>
          <w:color w:val="000000"/>
          <w:sz w:val="16"/>
          <w:szCs w:val="16"/>
        </w:rPr>
        <w:t>Log</w:t>
      </w:r>
      <w:r w:rsidRPr="00FF1870">
        <w:rPr>
          <w:rFonts w:ascii="Times" w:eastAsia="Times New Roman" w:hAnsi="Times" w:cs="Times New Roman"/>
          <w:color w:val="000000"/>
          <w:sz w:val="16"/>
          <w:szCs w:val="16"/>
          <w:vertAlign w:val="subscript"/>
        </w:rPr>
        <w:t>2</w:t>
      </w:r>
      <w:r w:rsidRPr="00FF1870">
        <w:rPr>
          <w:rFonts w:ascii="Times" w:eastAsia="Times New Roman" w:hAnsi="Times" w:cs="Times New Roman"/>
          <w:color w:val="000000"/>
          <w:sz w:val="16"/>
          <w:szCs w:val="16"/>
        </w:rPr>
        <w:t>(</w:t>
      </w:r>
      <w:proofErr w:type="gramEnd"/>
      <w:r w:rsidRPr="00FF1870">
        <w:rPr>
          <w:rFonts w:ascii="Times" w:eastAsia="Times New Roman" w:hAnsi="Times" w:cs="Times New Roman"/>
          <w:color w:val="000000"/>
          <w:sz w:val="16"/>
          <w:szCs w:val="16"/>
        </w:rPr>
        <w:t xml:space="preserve">IL-6) concentration and covariates in </w:t>
      </w:r>
      <w:r w:rsidRPr="00FF1870">
        <w:rPr>
          <w:rFonts w:ascii="Times" w:eastAsia="Times New Roman" w:hAnsi="Times" w:cs="Times New Roman"/>
          <w:color w:val="000000"/>
          <w:sz w:val="16"/>
          <w:szCs w:val="16"/>
          <w:vertAlign w:val="superscript"/>
        </w:rPr>
        <w:t>*</w:t>
      </w:r>
      <w:r w:rsidRPr="00FF1870">
        <w:rPr>
          <w:rFonts w:ascii="Times" w:eastAsia="Times New Roman" w:hAnsi="Times" w:cs="Times New Roman"/>
          <w:color w:val="000000"/>
          <w:sz w:val="16"/>
          <w:szCs w:val="16"/>
        </w:rPr>
        <w:t>.</w:t>
      </w:r>
    </w:p>
    <w:p w:rsidR="00311F7F" w:rsidRPr="002656CC" w:rsidRDefault="00311F7F" w:rsidP="00311F7F">
      <w:pPr>
        <w:rPr>
          <w:rFonts w:ascii="Times New Roman" w:hAnsi="Times New Roman" w:cs="Times New Roman"/>
          <w:sz w:val="16"/>
          <w:szCs w:val="16"/>
        </w:rPr>
      </w:pPr>
      <w:r w:rsidRPr="002656CC">
        <w:rPr>
          <w:rFonts w:ascii="Times New Roman" w:hAnsi="Times New Roman" w:cs="Times New Roman"/>
          <w:sz w:val="16"/>
          <w:szCs w:val="16"/>
        </w:rPr>
        <w:t>***p&lt;0.001; **p&lt;0.01; *p&lt;0.05</w:t>
      </w:r>
    </w:p>
    <w:p w:rsidR="00311F7F" w:rsidRDefault="00311F7F" w:rsidP="00311F7F"/>
    <w:p w:rsidR="00311F7F" w:rsidRDefault="00311F7F" w:rsidP="00311F7F"/>
    <w:p w:rsidR="001C07B5" w:rsidRDefault="00683D77"/>
    <w:sectPr w:rsidR="001C07B5" w:rsidSect="00ED74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311F7F"/>
    <w:rsid w:val="00026DAF"/>
    <w:rsid w:val="0006221A"/>
    <w:rsid w:val="00311F7F"/>
    <w:rsid w:val="00683D77"/>
    <w:rsid w:val="007228DF"/>
    <w:rsid w:val="008241A2"/>
    <w:rsid w:val="00A06143"/>
    <w:rsid w:val="00A06D69"/>
    <w:rsid w:val="00BF028E"/>
    <w:rsid w:val="00CE1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F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1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F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1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Cassy RC</dc:creator>
  <cp:lastModifiedBy>cescora</cp:lastModifiedBy>
  <cp:revision>2</cp:revision>
  <dcterms:created xsi:type="dcterms:W3CDTF">2015-10-22T22:11:00Z</dcterms:created>
  <dcterms:modified xsi:type="dcterms:W3CDTF">2016-06-17T17:56:00Z</dcterms:modified>
</cp:coreProperties>
</file>