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88D" w:rsidRPr="0091214D" w:rsidRDefault="0073488D" w:rsidP="009739B6">
      <w:pPr>
        <w:spacing w:line="480" w:lineRule="auto"/>
        <w:rPr>
          <w:rFonts w:ascii="Arial" w:hAnsi="Arial" w:cs="Arial"/>
          <w:b/>
          <w:color w:val="000000" w:themeColor="text1"/>
          <w:sz w:val="24"/>
          <w:szCs w:val="24"/>
          <w:lang w:val="en-US"/>
        </w:rPr>
      </w:pPr>
      <w:r w:rsidRPr="0091214D">
        <w:rPr>
          <w:rFonts w:ascii="Arial" w:hAnsi="Arial" w:cs="Arial"/>
          <w:b/>
          <w:color w:val="000000" w:themeColor="text1"/>
          <w:sz w:val="24"/>
          <w:szCs w:val="24"/>
          <w:lang w:val="en-US"/>
        </w:rPr>
        <w:t>Supplementary material</w:t>
      </w:r>
    </w:p>
    <w:p w:rsidR="0073488D" w:rsidRPr="0091214D" w:rsidRDefault="0073488D" w:rsidP="009739B6">
      <w:pPr>
        <w:spacing w:line="480" w:lineRule="auto"/>
        <w:rPr>
          <w:rFonts w:ascii="Arial" w:hAnsi="Arial" w:cs="Arial"/>
          <w:color w:val="000000" w:themeColor="text1"/>
          <w:sz w:val="24"/>
          <w:szCs w:val="24"/>
          <w:lang w:val="en-US"/>
        </w:rPr>
      </w:pPr>
    </w:p>
    <w:p w:rsidR="00AF760E" w:rsidRPr="0091214D" w:rsidRDefault="00AF760E" w:rsidP="009739B6">
      <w:pPr>
        <w:autoSpaceDE w:val="0"/>
        <w:autoSpaceDN w:val="0"/>
        <w:adjustRightInd w:val="0"/>
        <w:spacing w:after="0" w:line="480" w:lineRule="auto"/>
        <w:jc w:val="center"/>
        <w:outlineLvl w:val="0"/>
        <w:rPr>
          <w:rStyle w:val="Strong"/>
          <w:rFonts w:ascii="Arial" w:hAnsi="Arial" w:cs="Arial"/>
          <w:color w:val="000000" w:themeColor="text1"/>
          <w:sz w:val="24"/>
          <w:szCs w:val="24"/>
          <w:lang w:val="en-US"/>
        </w:rPr>
      </w:pPr>
      <w:r w:rsidRPr="0091214D">
        <w:rPr>
          <w:rStyle w:val="Strong"/>
          <w:rFonts w:ascii="Arial" w:hAnsi="Arial" w:cs="Arial"/>
          <w:color w:val="000000" w:themeColor="text1"/>
          <w:sz w:val="24"/>
          <w:szCs w:val="24"/>
          <w:lang w:val="en-US"/>
        </w:rPr>
        <w:t>Spontaneous breathing trial and post-extubation work of breathing in morbidly obese critically ill patients</w:t>
      </w:r>
    </w:p>
    <w:p w:rsidR="00AF760E" w:rsidRPr="0091214D" w:rsidRDefault="00AF760E" w:rsidP="009739B6">
      <w:pPr>
        <w:autoSpaceDE w:val="0"/>
        <w:autoSpaceDN w:val="0"/>
        <w:adjustRightInd w:val="0"/>
        <w:snapToGrid w:val="0"/>
        <w:spacing w:after="0" w:line="480" w:lineRule="auto"/>
        <w:rPr>
          <w:rFonts w:ascii="Arial" w:hAnsi="Arial" w:cs="Arial"/>
          <w:bCs/>
          <w:color w:val="000000" w:themeColor="text1"/>
          <w:sz w:val="24"/>
          <w:szCs w:val="24"/>
          <w:lang w:val="en-US"/>
        </w:rPr>
      </w:pPr>
    </w:p>
    <w:p w:rsidR="00740F74" w:rsidRPr="00DF2DE5" w:rsidRDefault="00740F74" w:rsidP="00740F74">
      <w:pPr>
        <w:autoSpaceDE w:val="0"/>
        <w:autoSpaceDN w:val="0"/>
        <w:adjustRightInd w:val="0"/>
        <w:snapToGrid w:val="0"/>
        <w:spacing w:after="0" w:line="480" w:lineRule="auto"/>
        <w:jc w:val="center"/>
        <w:rPr>
          <w:rFonts w:ascii="Arial" w:hAnsi="Arial" w:cs="Arial"/>
          <w:bCs/>
          <w:color w:val="000000" w:themeColor="text1"/>
          <w:sz w:val="24"/>
          <w:szCs w:val="24"/>
        </w:rPr>
      </w:pPr>
      <w:r w:rsidRPr="00DF2DE5">
        <w:rPr>
          <w:rFonts w:ascii="Arial" w:hAnsi="Arial" w:cs="Arial"/>
          <w:bCs/>
          <w:color w:val="000000" w:themeColor="text1"/>
          <w:sz w:val="24"/>
          <w:szCs w:val="24"/>
          <w:lang w:val="en-AU"/>
        </w:rPr>
        <w:t xml:space="preserve">Martin </w:t>
      </w:r>
      <w:proofErr w:type="spellStart"/>
      <w:r w:rsidRPr="00DF2DE5">
        <w:rPr>
          <w:rFonts w:ascii="Arial" w:hAnsi="Arial" w:cs="Arial"/>
          <w:bCs/>
          <w:color w:val="000000" w:themeColor="text1"/>
          <w:sz w:val="24"/>
          <w:szCs w:val="24"/>
          <w:lang w:val="en-AU"/>
        </w:rPr>
        <w:t>Mahul</w:t>
      </w:r>
      <w:proofErr w:type="spellEnd"/>
      <w:r w:rsidRPr="00DF2DE5">
        <w:rPr>
          <w:rFonts w:ascii="Arial" w:hAnsi="Arial" w:cs="Arial"/>
          <w:bCs/>
          <w:color w:val="000000" w:themeColor="text1"/>
          <w:sz w:val="24"/>
          <w:szCs w:val="24"/>
          <w:lang w:val="en-AU"/>
        </w:rPr>
        <w:t xml:space="preserve"> </w:t>
      </w:r>
      <w:r w:rsidRPr="00DF2DE5">
        <w:rPr>
          <w:rFonts w:ascii="Arial" w:hAnsi="Arial" w:cs="Arial"/>
          <w:color w:val="000000" w:themeColor="text1"/>
          <w:sz w:val="24"/>
          <w:szCs w:val="24"/>
          <w:vertAlign w:val="superscript"/>
          <w:lang w:val="en-AU"/>
        </w:rPr>
        <w:t>1</w:t>
      </w:r>
      <w:r>
        <w:rPr>
          <w:rFonts w:ascii="Arial" w:hAnsi="Arial" w:cs="Arial"/>
          <w:color w:val="000000" w:themeColor="text1"/>
          <w:sz w:val="24"/>
          <w:szCs w:val="24"/>
          <w:vertAlign w:val="superscript"/>
          <w:lang w:val="en-AU"/>
        </w:rPr>
        <w:t>*</w:t>
      </w:r>
      <w:r w:rsidRPr="00DF2DE5">
        <w:rPr>
          <w:rFonts w:ascii="Arial" w:hAnsi="Arial" w:cs="Arial"/>
          <w:bCs/>
          <w:color w:val="000000" w:themeColor="text1"/>
          <w:sz w:val="24"/>
          <w:szCs w:val="24"/>
          <w:lang w:val="en-AU"/>
        </w:rPr>
        <w:t xml:space="preserve">; </w:t>
      </w:r>
      <w:r>
        <w:rPr>
          <w:rFonts w:ascii="Arial" w:hAnsi="Arial" w:cs="Arial"/>
          <w:color w:val="000000" w:themeColor="text1"/>
          <w:sz w:val="24"/>
          <w:szCs w:val="24"/>
          <w:lang w:val="en-AU"/>
        </w:rPr>
        <w:t>Boris Jung</w:t>
      </w:r>
      <w:r w:rsidRPr="00DF2DE5">
        <w:rPr>
          <w:rFonts w:ascii="Arial" w:hAnsi="Arial" w:cs="Arial"/>
          <w:color w:val="000000" w:themeColor="text1"/>
          <w:sz w:val="24"/>
          <w:szCs w:val="24"/>
          <w:vertAlign w:val="superscript"/>
          <w:lang w:val="en-AU"/>
        </w:rPr>
        <w:t>1,4</w:t>
      </w:r>
      <w:r>
        <w:rPr>
          <w:rFonts w:ascii="Arial" w:hAnsi="Arial" w:cs="Arial"/>
          <w:color w:val="000000" w:themeColor="text1"/>
          <w:sz w:val="24"/>
          <w:szCs w:val="24"/>
          <w:vertAlign w:val="superscript"/>
          <w:lang w:val="en-AU"/>
        </w:rPr>
        <w:t>*</w:t>
      </w:r>
      <w:r w:rsidRPr="00DF2DE5">
        <w:rPr>
          <w:rFonts w:ascii="Arial" w:hAnsi="Arial" w:cs="Arial"/>
          <w:bCs/>
          <w:color w:val="000000" w:themeColor="text1"/>
          <w:sz w:val="24"/>
          <w:szCs w:val="24"/>
          <w:lang w:val="en-AU"/>
        </w:rPr>
        <w:t xml:space="preserve">; </w:t>
      </w:r>
      <w:proofErr w:type="spellStart"/>
      <w:r w:rsidRPr="00DF2DE5">
        <w:rPr>
          <w:rFonts w:ascii="Arial" w:hAnsi="Arial" w:cs="Arial"/>
          <w:bCs/>
          <w:color w:val="000000" w:themeColor="text1"/>
          <w:sz w:val="24"/>
          <w:szCs w:val="24"/>
          <w:lang w:val="en-AU"/>
        </w:rPr>
        <w:t>Fabrice</w:t>
      </w:r>
      <w:proofErr w:type="spellEnd"/>
      <w:r w:rsidRPr="00DF2DE5">
        <w:rPr>
          <w:rFonts w:ascii="Arial" w:hAnsi="Arial" w:cs="Arial"/>
          <w:bCs/>
          <w:color w:val="000000" w:themeColor="text1"/>
          <w:sz w:val="24"/>
          <w:szCs w:val="24"/>
          <w:lang w:val="en-AU"/>
        </w:rPr>
        <w:t xml:space="preserve"> </w:t>
      </w:r>
      <w:proofErr w:type="spellStart"/>
      <w:r w:rsidRPr="00DF2DE5">
        <w:rPr>
          <w:rFonts w:ascii="Arial" w:hAnsi="Arial" w:cs="Arial"/>
          <w:bCs/>
          <w:color w:val="000000" w:themeColor="text1"/>
          <w:sz w:val="24"/>
          <w:szCs w:val="24"/>
          <w:lang w:val="en-AU"/>
        </w:rPr>
        <w:t>Galia</w:t>
      </w:r>
      <w:proofErr w:type="spellEnd"/>
      <w:r w:rsidRPr="00DF2DE5">
        <w:rPr>
          <w:rFonts w:ascii="Arial" w:hAnsi="Arial" w:cs="Arial"/>
          <w:bCs/>
          <w:color w:val="000000" w:themeColor="text1"/>
          <w:sz w:val="24"/>
          <w:szCs w:val="24"/>
          <w:lang w:val="en-AU"/>
        </w:rPr>
        <w:t xml:space="preserve"> </w:t>
      </w:r>
      <w:r w:rsidRPr="00DF2DE5">
        <w:rPr>
          <w:rFonts w:ascii="Arial" w:hAnsi="Arial" w:cs="Arial"/>
          <w:color w:val="000000" w:themeColor="text1"/>
          <w:sz w:val="24"/>
          <w:szCs w:val="24"/>
          <w:vertAlign w:val="superscript"/>
          <w:lang w:val="en-AU"/>
        </w:rPr>
        <w:t>1</w:t>
      </w:r>
      <w:r w:rsidRPr="00DF2DE5">
        <w:rPr>
          <w:rFonts w:ascii="Arial" w:hAnsi="Arial" w:cs="Arial"/>
          <w:bCs/>
          <w:color w:val="000000" w:themeColor="text1"/>
          <w:sz w:val="24"/>
          <w:szCs w:val="24"/>
          <w:lang w:val="en-AU"/>
        </w:rPr>
        <w:t xml:space="preserve">; Nicolas Molinari </w:t>
      </w:r>
      <w:r w:rsidRPr="00DF2DE5">
        <w:rPr>
          <w:color w:val="000000" w:themeColor="text1"/>
          <w:sz w:val="24"/>
          <w:szCs w:val="24"/>
          <w:vertAlign w:val="superscript"/>
          <w:lang w:val="en-AU"/>
        </w:rPr>
        <w:t>2</w:t>
      </w:r>
      <w:r w:rsidRPr="00DF2DE5">
        <w:rPr>
          <w:rFonts w:ascii="Arial" w:hAnsi="Arial" w:cs="Arial"/>
          <w:bCs/>
          <w:color w:val="000000" w:themeColor="text1"/>
          <w:sz w:val="24"/>
          <w:szCs w:val="24"/>
          <w:lang w:val="en-AU"/>
        </w:rPr>
        <w:t xml:space="preserve">; Audrey de </w:t>
      </w:r>
      <w:proofErr w:type="spellStart"/>
      <w:r w:rsidRPr="00DF2DE5">
        <w:rPr>
          <w:rFonts w:ascii="Arial" w:hAnsi="Arial" w:cs="Arial"/>
          <w:bCs/>
          <w:color w:val="000000" w:themeColor="text1"/>
          <w:sz w:val="24"/>
          <w:szCs w:val="24"/>
          <w:lang w:val="en-AU"/>
        </w:rPr>
        <w:t>Jong</w:t>
      </w:r>
      <w:proofErr w:type="spellEnd"/>
      <w:r>
        <w:rPr>
          <w:rFonts w:ascii="Arial" w:hAnsi="Arial" w:cs="Arial"/>
          <w:bCs/>
          <w:color w:val="000000" w:themeColor="text1"/>
          <w:sz w:val="24"/>
          <w:szCs w:val="24"/>
          <w:lang w:val="en-AU"/>
        </w:rPr>
        <w:t xml:space="preserve"> </w:t>
      </w:r>
      <w:r w:rsidRPr="00DF2DE5">
        <w:rPr>
          <w:rFonts w:ascii="Arial" w:hAnsi="Arial" w:cs="Arial"/>
          <w:color w:val="000000" w:themeColor="text1"/>
          <w:sz w:val="24"/>
          <w:szCs w:val="24"/>
          <w:vertAlign w:val="superscript"/>
          <w:lang w:val="en-AU"/>
        </w:rPr>
        <w:t>1</w:t>
      </w:r>
      <w:r w:rsidRPr="00DF2DE5">
        <w:rPr>
          <w:rFonts w:ascii="Arial" w:hAnsi="Arial" w:cs="Arial"/>
          <w:bCs/>
          <w:color w:val="000000" w:themeColor="text1"/>
          <w:sz w:val="24"/>
          <w:szCs w:val="24"/>
          <w:lang w:val="en-AU"/>
        </w:rPr>
        <w:t xml:space="preserve">; </w:t>
      </w:r>
      <w:proofErr w:type="spellStart"/>
      <w:r w:rsidRPr="00DF2DE5">
        <w:rPr>
          <w:rFonts w:ascii="Arial" w:hAnsi="Arial" w:cs="Arial"/>
          <w:bCs/>
          <w:color w:val="000000" w:themeColor="text1"/>
          <w:sz w:val="24"/>
          <w:szCs w:val="24"/>
          <w:lang w:val="en-AU"/>
        </w:rPr>
        <w:t>Yannaël</w:t>
      </w:r>
      <w:proofErr w:type="spellEnd"/>
      <w:r w:rsidRPr="00DF2DE5">
        <w:rPr>
          <w:rFonts w:ascii="Arial" w:hAnsi="Arial" w:cs="Arial"/>
          <w:bCs/>
          <w:color w:val="000000" w:themeColor="text1"/>
          <w:sz w:val="24"/>
          <w:szCs w:val="24"/>
          <w:lang w:val="en-AU"/>
        </w:rPr>
        <w:t xml:space="preserve"> </w:t>
      </w:r>
      <w:proofErr w:type="spellStart"/>
      <w:r w:rsidRPr="00DF2DE5">
        <w:rPr>
          <w:rFonts w:ascii="Arial" w:hAnsi="Arial" w:cs="Arial"/>
          <w:bCs/>
          <w:color w:val="000000" w:themeColor="text1"/>
          <w:sz w:val="24"/>
          <w:szCs w:val="24"/>
          <w:lang w:val="en-AU"/>
        </w:rPr>
        <w:t>Coisel</w:t>
      </w:r>
      <w:proofErr w:type="spellEnd"/>
      <w:r w:rsidRPr="00DF2DE5">
        <w:rPr>
          <w:rFonts w:ascii="Arial" w:hAnsi="Arial" w:cs="Arial"/>
          <w:bCs/>
          <w:color w:val="000000" w:themeColor="text1"/>
          <w:sz w:val="24"/>
          <w:szCs w:val="24"/>
          <w:lang w:val="en-AU"/>
        </w:rPr>
        <w:t xml:space="preserve"> </w:t>
      </w:r>
      <w:r w:rsidRPr="00DF2DE5">
        <w:rPr>
          <w:rFonts w:ascii="Arial" w:hAnsi="Arial" w:cs="Arial"/>
          <w:color w:val="000000" w:themeColor="text1"/>
          <w:sz w:val="24"/>
          <w:szCs w:val="24"/>
          <w:vertAlign w:val="superscript"/>
          <w:lang w:val="en-AU"/>
        </w:rPr>
        <w:t>1,4</w:t>
      </w:r>
      <w:r w:rsidRPr="00DF2DE5">
        <w:rPr>
          <w:rFonts w:ascii="Arial" w:hAnsi="Arial" w:cs="Arial"/>
          <w:bCs/>
          <w:color w:val="000000" w:themeColor="text1"/>
          <w:sz w:val="24"/>
          <w:szCs w:val="24"/>
          <w:lang w:val="en-AU"/>
        </w:rPr>
        <w:t xml:space="preserve">; Rosanna </w:t>
      </w:r>
      <w:proofErr w:type="spellStart"/>
      <w:r w:rsidRPr="00DF2DE5">
        <w:rPr>
          <w:rFonts w:ascii="Arial" w:hAnsi="Arial" w:cs="Arial"/>
          <w:bCs/>
          <w:color w:val="000000" w:themeColor="text1"/>
          <w:sz w:val="24"/>
          <w:szCs w:val="24"/>
          <w:lang w:val="en-AU"/>
        </w:rPr>
        <w:t>Vaschetto</w:t>
      </w:r>
      <w:proofErr w:type="spellEnd"/>
      <w:r>
        <w:rPr>
          <w:rFonts w:ascii="Arial" w:hAnsi="Arial" w:cs="Arial"/>
          <w:bCs/>
          <w:color w:val="000000" w:themeColor="text1"/>
          <w:sz w:val="24"/>
          <w:szCs w:val="24"/>
          <w:lang w:val="en-AU"/>
        </w:rPr>
        <w:t xml:space="preserve"> </w:t>
      </w:r>
      <w:r w:rsidRPr="00DF2DE5">
        <w:rPr>
          <w:color w:val="000000" w:themeColor="text1"/>
          <w:sz w:val="24"/>
          <w:szCs w:val="24"/>
          <w:vertAlign w:val="superscript"/>
          <w:lang w:val="en-AU"/>
        </w:rPr>
        <w:t>3</w:t>
      </w:r>
      <w:r w:rsidRPr="00DF2DE5">
        <w:rPr>
          <w:rFonts w:ascii="Arial" w:hAnsi="Arial" w:cs="Arial"/>
          <w:bCs/>
          <w:color w:val="000000" w:themeColor="text1"/>
          <w:sz w:val="24"/>
          <w:szCs w:val="24"/>
          <w:lang w:val="en-AU"/>
        </w:rPr>
        <w:t xml:space="preserve">, Stefan </w:t>
      </w:r>
      <w:proofErr w:type="spellStart"/>
      <w:r w:rsidRPr="00DF2DE5">
        <w:rPr>
          <w:rFonts w:ascii="Arial" w:hAnsi="Arial" w:cs="Arial"/>
          <w:bCs/>
          <w:color w:val="000000" w:themeColor="text1"/>
          <w:sz w:val="24"/>
          <w:szCs w:val="24"/>
          <w:lang w:val="en-AU"/>
        </w:rPr>
        <w:t>Matecki</w:t>
      </w:r>
      <w:proofErr w:type="spellEnd"/>
      <w:r w:rsidRPr="00DF2DE5">
        <w:rPr>
          <w:rFonts w:ascii="Arial" w:hAnsi="Arial" w:cs="Arial"/>
          <w:bCs/>
          <w:color w:val="000000" w:themeColor="text1"/>
          <w:sz w:val="24"/>
          <w:szCs w:val="24"/>
          <w:lang w:val="en-AU"/>
        </w:rPr>
        <w:t xml:space="preserve"> </w:t>
      </w:r>
      <w:r w:rsidRPr="00DF2DE5">
        <w:rPr>
          <w:rFonts w:ascii="Arial" w:hAnsi="Arial" w:cs="Arial"/>
          <w:color w:val="000000" w:themeColor="text1"/>
          <w:sz w:val="24"/>
          <w:szCs w:val="24"/>
          <w:vertAlign w:val="superscript"/>
          <w:lang w:val="en-AU"/>
        </w:rPr>
        <w:t>4</w:t>
      </w:r>
      <w:r w:rsidRPr="00DF2DE5">
        <w:rPr>
          <w:rFonts w:ascii="Arial" w:hAnsi="Arial" w:cs="Arial"/>
          <w:bCs/>
          <w:color w:val="000000" w:themeColor="text1"/>
          <w:sz w:val="24"/>
          <w:szCs w:val="24"/>
          <w:lang w:val="en-AU"/>
        </w:rPr>
        <w:t xml:space="preserve">; </w:t>
      </w:r>
      <w:r>
        <w:rPr>
          <w:rFonts w:ascii="Arial" w:hAnsi="Arial" w:cs="Arial"/>
          <w:bCs/>
          <w:color w:val="000000" w:themeColor="text1"/>
          <w:sz w:val="24"/>
          <w:szCs w:val="24"/>
        </w:rPr>
        <w:t xml:space="preserve">Gérald </w:t>
      </w:r>
      <w:proofErr w:type="spellStart"/>
      <w:r>
        <w:rPr>
          <w:rFonts w:ascii="Arial" w:hAnsi="Arial" w:cs="Arial"/>
          <w:bCs/>
          <w:color w:val="000000" w:themeColor="text1"/>
          <w:sz w:val="24"/>
          <w:szCs w:val="24"/>
        </w:rPr>
        <w:t>Chanques</w:t>
      </w:r>
      <w:proofErr w:type="spellEnd"/>
      <w:r w:rsidRPr="00DF2DE5">
        <w:rPr>
          <w:rFonts w:ascii="Arial" w:hAnsi="Arial" w:cs="Arial"/>
          <w:color w:val="000000" w:themeColor="text1"/>
          <w:sz w:val="24"/>
          <w:szCs w:val="24"/>
        </w:rPr>
        <w:t xml:space="preserve"> </w:t>
      </w:r>
      <w:r w:rsidRPr="00DF2DE5">
        <w:rPr>
          <w:rFonts w:ascii="Arial" w:hAnsi="Arial" w:cs="Arial"/>
          <w:color w:val="000000" w:themeColor="text1"/>
          <w:sz w:val="24"/>
          <w:szCs w:val="24"/>
          <w:vertAlign w:val="superscript"/>
        </w:rPr>
        <w:t>1,4</w:t>
      </w:r>
      <w:r w:rsidRPr="00DF2DE5">
        <w:rPr>
          <w:rFonts w:ascii="Arial" w:hAnsi="Arial" w:cs="Arial"/>
          <w:bCs/>
          <w:color w:val="000000" w:themeColor="text1"/>
          <w:sz w:val="24"/>
          <w:szCs w:val="24"/>
        </w:rPr>
        <w:t>; Laurent Brochard</w:t>
      </w:r>
      <w:r w:rsidRPr="00DF2DE5">
        <w:rPr>
          <w:rFonts w:ascii="Arial" w:hAnsi="Arial" w:cs="Arial"/>
          <w:color w:val="000000" w:themeColor="text1"/>
          <w:sz w:val="24"/>
          <w:szCs w:val="24"/>
          <w:vertAlign w:val="superscript"/>
        </w:rPr>
        <w:t xml:space="preserve"> 5</w:t>
      </w:r>
      <w:r w:rsidRPr="00DF2DE5">
        <w:rPr>
          <w:rFonts w:ascii="Arial" w:hAnsi="Arial" w:cs="Arial"/>
          <w:bCs/>
          <w:color w:val="000000" w:themeColor="text1"/>
          <w:sz w:val="24"/>
          <w:szCs w:val="24"/>
        </w:rPr>
        <w:t xml:space="preserve">; Samir </w:t>
      </w:r>
      <w:proofErr w:type="spellStart"/>
      <w:r w:rsidRPr="00DF2DE5">
        <w:rPr>
          <w:rFonts w:ascii="Arial" w:hAnsi="Arial" w:cs="Arial"/>
          <w:bCs/>
          <w:color w:val="000000" w:themeColor="text1"/>
          <w:sz w:val="24"/>
          <w:szCs w:val="24"/>
        </w:rPr>
        <w:t>Jaber</w:t>
      </w:r>
      <w:proofErr w:type="spellEnd"/>
      <w:r w:rsidRPr="00DF2DE5">
        <w:rPr>
          <w:rFonts w:ascii="Arial" w:hAnsi="Arial" w:cs="Arial"/>
          <w:color w:val="000000" w:themeColor="text1"/>
          <w:sz w:val="24"/>
          <w:szCs w:val="24"/>
        </w:rPr>
        <w:t xml:space="preserve"> </w:t>
      </w:r>
      <w:r w:rsidRPr="00DF2DE5">
        <w:rPr>
          <w:rFonts w:ascii="Arial" w:hAnsi="Arial" w:cs="Arial"/>
          <w:color w:val="000000" w:themeColor="text1"/>
          <w:sz w:val="24"/>
          <w:szCs w:val="24"/>
          <w:vertAlign w:val="superscript"/>
        </w:rPr>
        <w:t>1,4</w:t>
      </w: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 These authors contributed equally to this work.</w:t>
      </w:r>
    </w:p>
    <w:p w:rsidR="00793560" w:rsidRPr="00DF2DE5" w:rsidRDefault="00793560" w:rsidP="00793560">
      <w:pPr>
        <w:autoSpaceDE w:val="0"/>
        <w:autoSpaceDN w:val="0"/>
        <w:adjustRightInd w:val="0"/>
        <w:spacing w:line="480" w:lineRule="auto"/>
        <w:rPr>
          <w:rFonts w:ascii="Arial" w:hAnsi="Arial" w:cs="Arial"/>
          <w:b/>
          <w:bCs/>
          <w:color w:val="000000" w:themeColor="text1"/>
          <w:sz w:val="24"/>
          <w:szCs w:val="24"/>
        </w:rPr>
      </w:pPr>
      <w:proofErr w:type="spellStart"/>
      <w:r w:rsidRPr="00DF2DE5">
        <w:rPr>
          <w:rFonts w:ascii="Arial" w:hAnsi="Arial" w:cs="Arial"/>
          <w:b/>
          <w:bCs/>
          <w:color w:val="000000" w:themeColor="text1"/>
          <w:sz w:val="24"/>
          <w:szCs w:val="24"/>
        </w:rPr>
        <w:t>Authors</w:t>
      </w:r>
      <w:proofErr w:type="spellEnd"/>
      <w:r w:rsidRPr="00DF2DE5">
        <w:rPr>
          <w:rFonts w:ascii="Arial" w:hAnsi="Arial" w:cs="Arial"/>
          <w:b/>
          <w:bCs/>
          <w:color w:val="000000" w:themeColor="text1"/>
          <w:sz w:val="24"/>
          <w:szCs w:val="24"/>
        </w:rPr>
        <w:t xml:space="preserve"> affiliations:</w:t>
      </w:r>
    </w:p>
    <w:p w:rsidR="00793560" w:rsidRPr="00DF2DE5" w:rsidRDefault="00793560" w:rsidP="00793560">
      <w:pPr>
        <w:tabs>
          <w:tab w:val="left" w:pos="3876"/>
        </w:tabs>
        <w:autoSpaceDE w:val="0"/>
        <w:autoSpaceDN w:val="0"/>
        <w:adjustRightInd w:val="0"/>
        <w:snapToGrid w:val="0"/>
        <w:spacing w:after="0" w:line="480" w:lineRule="auto"/>
        <w:rPr>
          <w:rFonts w:ascii="Arial" w:hAnsi="Arial" w:cs="Arial"/>
          <w:color w:val="000000" w:themeColor="text1"/>
          <w:sz w:val="24"/>
          <w:szCs w:val="24"/>
        </w:rPr>
      </w:pPr>
      <w:r w:rsidRPr="00DF2DE5">
        <w:rPr>
          <w:rFonts w:ascii="Arial" w:hAnsi="Arial" w:cs="Arial"/>
          <w:color w:val="000000" w:themeColor="text1"/>
          <w:sz w:val="24"/>
          <w:szCs w:val="24"/>
          <w:vertAlign w:val="superscript"/>
        </w:rPr>
        <w:t>1</w:t>
      </w:r>
      <w:r w:rsidRPr="00DF2DE5">
        <w:rPr>
          <w:rFonts w:ascii="Arial" w:hAnsi="Arial" w:cs="Arial"/>
          <w:b/>
          <w:bCs/>
          <w:color w:val="000000" w:themeColor="text1"/>
          <w:sz w:val="24"/>
          <w:szCs w:val="24"/>
        </w:rPr>
        <w:t xml:space="preserve"> </w:t>
      </w:r>
      <w:r w:rsidRPr="00DF2DE5">
        <w:rPr>
          <w:rFonts w:ascii="Arial" w:hAnsi="Arial" w:cs="Arial"/>
          <w:color w:val="000000" w:themeColor="text1"/>
          <w:sz w:val="24"/>
          <w:szCs w:val="24"/>
        </w:rPr>
        <w:t xml:space="preserve">Intensive Care Unit, </w:t>
      </w:r>
      <w:proofErr w:type="spellStart"/>
      <w:r w:rsidRPr="00DF2DE5">
        <w:rPr>
          <w:rFonts w:ascii="Arial" w:hAnsi="Arial" w:cs="Arial"/>
          <w:color w:val="000000" w:themeColor="text1"/>
          <w:sz w:val="24"/>
          <w:szCs w:val="24"/>
        </w:rPr>
        <w:t>Anaesthesia</w:t>
      </w:r>
      <w:proofErr w:type="spellEnd"/>
      <w:r w:rsidRPr="00DF2DE5">
        <w:rPr>
          <w:rFonts w:ascii="Arial" w:hAnsi="Arial" w:cs="Arial"/>
          <w:color w:val="000000" w:themeColor="text1"/>
          <w:sz w:val="24"/>
          <w:szCs w:val="24"/>
        </w:rPr>
        <w:t xml:space="preserve"> and </w:t>
      </w:r>
      <w:proofErr w:type="spellStart"/>
      <w:r w:rsidRPr="00DF2DE5">
        <w:rPr>
          <w:rFonts w:ascii="Arial" w:hAnsi="Arial" w:cs="Arial"/>
          <w:color w:val="000000" w:themeColor="text1"/>
          <w:sz w:val="24"/>
          <w:szCs w:val="24"/>
        </w:rPr>
        <w:t>Critical</w:t>
      </w:r>
      <w:proofErr w:type="spellEnd"/>
      <w:r w:rsidRPr="00DF2DE5">
        <w:rPr>
          <w:rFonts w:ascii="Arial" w:hAnsi="Arial" w:cs="Arial"/>
          <w:color w:val="000000" w:themeColor="text1"/>
          <w:sz w:val="24"/>
          <w:szCs w:val="24"/>
        </w:rPr>
        <w:t xml:space="preserve"> Care </w:t>
      </w:r>
      <w:proofErr w:type="spellStart"/>
      <w:r w:rsidRPr="00DF2DE5">
        <w:rPr>
          <w:rFonts w:ascii="Arial" w:hAnsi="Arial" w:cs="Arial"/>
          <w:color w:val="000000" w:themeColor="text1"/>
          <w:sz w:val="24"/>
          <w:szCs w:val="24"/>
        </w:rPr>
        <w:t>Department</w:t>
      </w:r>
      <w:proofErr w:type="spellEnd"/>
      <w:r w:rsidRPr="00DF2DE5">
        <w:rPr>
          <w:rFonts w:ascii="Arial" w:hAnsi="Arial" w:cs="Arial"/>
          <w:color w:val="000000" w:themeColor="text1"/>
          <w:sz w:val="24"/>
          <w:szCs w:val="24"/>
        </w:rPr>
        <w:t xml:space="preserve">, Saint Eloi </w:t>
      </w:r>
      <w:proofErr w:type="spellStart"/>
      <w:r w:rsidRPr="00DF2DE5">
        <w:rPr>
          <w:rFonts w:ascii="Arial" w:hAnsi="Arial" w:cs="Arial"/>
          <w:color w:val="000000" w:themeColor="text1"/>
          <w:sz w:val="24"/>
          <w:szCs w:val="24"/>
        </w:rPr>
        <w:t>Teaching</w:t>
      </w:r>
      <w:proofErr w:type="spellEnd"/>
      <w:r w:rsidRPr="00DF2DE5">
        <w:rPr>
          <w:rFonts w:ascii="Arial" w:hAnsi="Arial" w:cs="Arial"/>
          <w:color w:val="000000" w:themeColor="text1"/>
          <w:sz w:val="24"/>
          <w:szCs w:val="24"/>
        </w:rPr>
        <w:t xml:space="preserve"> </w:t>
      </w:r>
      <w:proofErr w:type="spellStart"/>
      <w:r w:rsidRPr="00DF2DE5">
        <w:rPr>
          <w:rFonts w:ascii="Arial" w:hAnsi="Arial" w:cs="Arial"/>
          <w:color w:val="000000" w:themeColor="text1"/>
          <w:sz w:val="24"/>
          <w:szCs w:val="24"/>
        </w:rPr>
        <w:t>Hospital</w:t>
      </w:r>
      <w:proofErr w:type="spellEnd"/>
      <w:r w:rsidRPr="00DF2DE5">
        <w:rPr>
          <w:rFonts w:ascii="Arial" w:hAnsi="Arial" w:cs="Arial"/>
          <w:color w:val="000000" w:themeColor="text1"/>
          <w:sz w:val="24"/>
          <w:szCs w:val="24"/>
        </w:rPr>
        <w:t>, Centre Hospitalier Universitaire Montpellier, France</w:t>
      </w:r>
    </w:p>
    <w:p w:rsidR="00793560" w:rsidRPr="00DF2DE5" w:rsidRDefault="00793560" w:rsidP="00793560">
      <w:pPr>
        <w:widowControl w:val="0"/>
        <w:autoSpaceDE w:val="0"/>
        <w:autoSpaceDN w:val="0"/>
        <w:adjustRightInd w:val="0"/>
        <w:spacing w:after="0" w:line="480" w:lineRule="auto"/>
        <w:rPr>
          <w:rFonts w:ascii="Arial" w:hAnsi="Arial" w:cs="Arial"/>
          <w:color w:val="000000" w:themeColor="text1"/>
          <w:sz w:val="24"/>
          <w:szCs w:val="24"/>
          <w:lang w:val="en-AU"/>
        </w:rPr>
      </w:pPr>
      <w:r w:rsidRPr="00DF2DE5">
        <w:rPr>
          <w:color w:val="000000" w:themeColor="text1"/>
          <w:sz w:val="24"/>
          <w:szCs w:val="24"/>
          <w:vertAlign w:val="superscript"/>
          <w:lang w:val="en-AU"/>
        </w:rPr>
        <w:t xml:space="preserve">2 </w:t>
      </w:r>
      <w:proofErr w:type="gramStart"/>
      <w:r w:rsidRPr="00DF2DE5">
        <w:rPr>
          <w:rFonts w:ascii="Arial" w:hAnsi="Arial" w:cs="Arial"/>
          <w:color w:val="000000" w:themeColor="text1"/>
          <w:sz w:val="24"/>
          <w:szCs w:val="24"/>
          <w:lang w:val="en-AU"/>
        </w:rPr>
        <w:t>Department</w:t>
      </w:r>
      <w:proofErr w:type="gramEnd"/>
      <w:r w:rsidRPr="00DF2DE5">
        <w:rPr>
          <w:rFonts w:ascii="Arial" w:hAnsi="Arial" w:cs="Arial"/>
          <w:color w:val="000000" w:themeColor="text1"/>
          <w:sz w:val="24"/>
          <w:szCs w:val="24"/>
          <w:lang w:val="en-AU"/>
        </w:rPr>
        <w:t xml:space="preserve"> of Statistics, University of Montpellier </w:t>
      </w:r>
      <w:proofErr w:type="spellStart"/>
      <w:r w:rsidRPr="00DF2DE5">
        <w:rPr>
          <w:rFonts w:ascii="Arial" w:hAnsi="Arial" w:cs="Arial"/>
          <w:color w:val="000000" w:themeColor="text1"/>
          <w:sz w:val="24"/>
          <w:szCs w:val="24"/>
          <w:lang w:val="en-AU"/>
        </w:rPr>
        <w:t>Lapeyronie</w:t>
      </w:r>
      <w:proofErr w:type="spellEnd"/>
      <w:r w:rsidRPr="00DF2DE5">
        <w:rPr>
          <w:rFonts w:ascii="Arial" w:hAnsi="Arial" w:cs="Arial"/>
          <w:color w:val="000000" w:themeColor="text1"/>
          <w:sz w:val="24"/>
          <w:szCs w:val="24"/>
          <w:lang w:val="en-AU"/>
        </w:rPr>
        <w:t xml:space="preserve"> Hospital, UMR 729 MISTEA, Montpellier, France</w:t>
      </w:r>
    </w:p>
    <w:p w:rsidR="00793560" w:rsidRPr="00DF2DE5" w:rsidRDefault="00793560" w:rsidP="00793560">
      <w:pPr>
        <w:widowControl w:val="0"/>
        <w:autoSpaceDE w:val="0"/>
        <w:autoSpaceDN w:val="0"/>
        <w:adjustRightInd w:val="0"/>
        <w:spacing w:after="0" w:line="480" w:lineRule="auto"/>
        <w:rPr>
          <w:rFonts w:ascii="Arial" w:hAnsi="Arial" w:cs="Arial"/>
          <w:color w:val="000000" w:themeColor="text1"/>
          <w:sz w:val="24"/>
          <w:szCs w:val="24"/>
          <w:lang w:val="en-AU"/>
        </w:rPr>
      </w:pPr>
      <w:r w:rsidRPr="00DF2DE5">
        <w:rPr>
          <w:color w:val="000000" w:themeColor="text1"/>
          <w:sz w:val="24"/>
          <w:szCs w:val="24"/>
          <w:vertAlign w:val="superscript"/>
          <w:lang w:val="en-AU"/>
        </w:rPr>
        <w:t>3</w:t>
      </w:r>
      <w:r w:rsidRPr="00DF2DE5">
        <w:rPr>
          <w:rFonts w:ascii="Arial" w:hAnsi="Arial" w:cs="Arial"/>
          <w:color w:val="000000" w:themeColor="text1"/>
          <w:sz w:val="24"/>
          <w:szCs w:val="24"/>
          <w:lang w:val="en-AU"/>
        </w:rPr>
        <w:t xml:space="preserve"> Anaesthesia and Intensive Care Medicine, Maggiore </w:t>
      </w:r>
      <w:proofErr w:type="spellStart"/>
      <w:proofErr w:type="gramStart"/>
      <w:r w:rsidRPr="00DF2DE5">
        <w:rPr>
          <w:rFonts w:ascii="Arial" w:hAnsi="Arial" w:cs="Arial"/>
          <w:color w:val="000000" w:themeColor="text1"/>
          <w:sz w:val="24"/>
          <w:szCs w:val="24"/>
          <w:lang w:val="en-AU"/>
        </w:rPr>
        <w:t>della</w:t>
      </w:r>
      <w:proofErr w:type="spellEnd"/>
      <w:proofErr w:type="gramEnd"/>
      <w:r w:rsidRPr="00DF2DE5">
        <w:rPr>
          <w:rFonts w:ascii="Arial" w:hAnsi="Arial" w:cs="Arial"/>
          <w:color w:val="000000" w:themeColor="text1"/>
          <w:sz w:val="24"/>
          <w:szCs w:val="24"/>
          <w:lang w:val="en-AU"/>
        </w:rPr>
        <w:t xml:space="preserve"> </w:t>
      </w:r>
      <w:proofErr w:type="spellStart"/>
      <w:r w:rsidRPr="00DF2DE5">
        <w:rPr>
          <w:rFonts w:ascii="Arial" w:hAnsi="Arial" w:cs="Arial"/>
          <w:color w:val="000000" w:themeColor="text1"/>
          <w:sz w:val="24"/>
          <w:szCs w:val="24"/>
          <w:lang w:val="en-AU"/>
        </w:rPr>
        <w:t>Carità</w:t>
      </w:r>
      <w:proofErr w:type="spellEnd"/>
      <w:r w:rsidRPr="00DF2DE5">
        <w:rPr>
          <w:rFonts w:ascii="Arial" w:hAnsi="Arial" w:cs="Arial"/>
          <w:color w:val="000000" w:themeColor="text1"/>
          <w:sz w:val="24"/>
          <w:szCs w:val="24"/>
          <w:lang w:val="en-AU"/>
        </w:rPr>
        <w:t xml:space="preserve"> Hospital, Novara, Italy</w:t>
      </w:r>
    </w:p>
    <w:p w:rsidR="00793560" w:rsidRPr="00DF2DE5" w:rsidRDefault="00793560" w:rsidP="00793560">
      <w:pPr>
        <w:tabs>
          <w:tab w:val="left" w:pos="3876"/>
        </w:tabs>
        <w:autoSpaceDE w:val="0"/>
        <w:autoSpaceDN w:val="0"/>
        <w:adjustRightInd w:val="0"/>
        <w:snapToGrid w:val="0"/>
        <w:spacing w:after="0" w:line="480" w:lineRule="auto"/>
        <w:rPr>
          <w:rFonts w:ascii="Arial" w:hAnsi="Arial" w:cs="Arial"/>
          <w:color w:val="000000" w:themeColor="text1"/>
          <w:sz w:val="24"/>
          <w:szCs w:val="24"/>
        </w:rPr>
      </w:pPr>
      <w:r w:rsidRPr="00DF2DE5">
        <w:rPr>
          <w:rFonts w:ascii="Arial" w:hAnsi="Arial" w:cs="Arial"/>
          <w:color w:val="000000" w:themeColor="text1"/>
          <w:sz w:val="24"/>
          <w:szCs w:val="24"/>
          <w:vertAlign w:val="superscript"/>
        </w:rPr>
        <w:t>4</w:t>
      </w:r>
      <w:r w:rsidRPr="00DF2DE5">
        <w:rPr>
          <w:rFonts w:ascii="Arial" w:hAnsi="Arial" w:cs="Arial"/>
          <w:color w:val="000000" w:themeColor="text1"/>
          <w:sz w:val="24"/>
          <w:szCs w:val="24"/>
        </w:rPr>
        <w:t xml:space="preserve"> Centre National de la Recherche Scientifique (CNRS 9214) - Institut National de la Santé et de la Recherche Médicale (INSERM U-1046), Montpellier </w:t>
      </w:r>
      <w:proofErr w:type="spellStart"/>
      <w:r w:rsidRPr="00DF2DE5">
        <w:rPr>
          <w:rFonts w:ascii="Arial" w:hAnsi="Arial" w:cs="Arial"/>
          <w:color w:val="000000" w:themeColor="text1"/>
          <w:sz w:val="24"/>
          <w:szCs w:val="24"/>
        </w:rPr>
        <w:t>University</w:t>
      </w:r>
      <w:proofErr w:type="spellEnd"/>
      <w:r w:rsidRPr="00DF2DE5">
        <w:rPr>
          <w:rFonts w:ascii="Arial" w:hAnsi="Arial" w:cs="Arial"/>
          <w:color w:val="000000" w:themeColor="text1"/>
          <w:sz w:val="24"/>
          <w:szCs w:val="24"/>
        </w:rPr>
        <w:t>, Montpellier, France</w:t>
      </w:r>
    </w:p>
    <w:p w:rsidR="00793560" w:rsidRPr="00DF2DE5" w:rsidRDefault="00793560" w:rsidP="00793560">
      <w:pPr>
        <w:widowControl w:val="0"/>
        <w:autoSpaceDE w:val="0"/>
        <w:autoSpaceDN w:val="0"/>
        <w:adjustRightInd w:val="0"/>
        <w:spacing w:after="0" w:line="480" w:lineRule="auto"/>
        <w:rPr>
          <w:rFonts w:ascii="Arial" w:hAnsi="Arial" w:cs="Arial"/>
          <w:b/>
          <w:bCs/>
          <w:color w:val="000000" w:themeColor="text1"/>
          <w:sz w:val="24"/>
          <w:szCs w:val="24"/>
          <w:lang w:val="en-AU"/>
        </w:rPr>
      </w:pPr>
      <w:r w:rsidRPr="00DF2DE5">
        <w:rPr>
          <w:rFonts w:ascii="Arial" w:hAnsi="Arial" w:cs="Arial"/>
          <w:color w:val="000000" w:themeColor="text1"/>
          <w:sz w:val="24"/>
          <w:szCs w:val="24"/>
          <w:vertAlign w:val="superscript"/>
          <w:lang w:val="en-AU"/>
        </w:rPr>
        <w:t>5</w:t>
      </w:r>
      <w:r w:rsidRPr="00DF2DE5">
        <w:rPr>
          <w:rFonts w:ascii="Arial" w:hAnsi="Arial" w:cs="Arial"/>
          <w:color w:val="000000" w:themeColor="text1"/>
          <w:sz w:val="24"/>
          <w:szCs w:val="24"/>
          <w:lang w:val="en-AU"/>
        </w:rPr>
        <w:t xml:space="preserve"> Keenan Research Centre, St Michael’s Hospital, Toronto; Interdepartmental Division of Critical Care Medicine, University of Toronto, Canada</w:t>
      </w:r>
    </w:p>
    <w:p w:rsidR="00793560" w:rsidRPr="00DF2DE5" w:rsidRDefault="00793560" w:rsidP="00793560">
      <w:pPr>
        <w:adjustRightInd w:val="0"/>
        <w:snapToGrid w:val="0"/>
        <w:spacing w:before="360" w:after="0" w:line="480" w:lineRule="auto"/>
        <w:rPr>
          <w:rFonts w:ascii="Arial" w:hAnsi="Arial" w:cs="Arial"/>
          <w:color w:val="000000" w:themeColor="text1"/>
          <w:sz w:val="24"/>
          <w:szCs w:val="24"/>
          <w:lang w:val="en-AU"/>
        </w:rPr>
      </w:pPr>
      <w:r w:rsidRPr="00DF2DE5">
        <w:rPr>
          <w:rFonts w:ascii="Arial" w:hAnsi="Arial" w:cs="Arial"/>
          <w:color w:val="000000" w:themeColor="text1"/>
          <w:sz w:val="24"/>
          <w:szCs w:val="24"/>
          <w:lang w:val="en-AU"/>
        </w:rPr>
        <w:t>* These authors contributed equally to this work.</w:t>
      </w:r>
    </w:p>
    <w:p w:rsidR="00793560" w:rsidRPr="00DF2DE5" w:rsidRDefault="00793560" w:rsidP="00793560">
      <w:pPr>
        <w:autoSpaceDE w:val="0"/>
        <w:autoSpaceDN w:val="0"/>
        <w:adjustRightInd w:val="0"/>
        <w:snapToGrid w:val="0"/>
        <w:spacing w:line="480" w:lineRule="auto"/>
        <w:rPr>
          <w:rFonts w:ascii="Arial" w:hAnsi="Arial" w:cs="Arial"/>
          <w:b/>
          <w:bCs/>
          <w:color w:val="000000" w:themeColor="text1"/>
          <w:sz w:val="24"/>
          <w:szCs w:val="24"/>
          <w:lang w:val="en-AU"/>
        </w:rPr>
      </w:pPr>
    </w:p>
    <w:p w:rsidR="00793560" w:rsidRPr="00DF2DE5" w:rsidRDefault="00793560" w:rsidP="00793560">
      <w:pPr>
        <w:widowControl w:val="0"/>
        <w:autoSpaceDE w:val="0"/>
        <w:autoSpaceDN w:val="0"/>
        <w:adjustRightInd w:val="0"/>
        <w:spacing w:line="480" w:lineRule="auto"/>
        <w:rPr>
          <w:rFonts w:ascii="Arial" w:hAnsi="Arial" w:cs="Arial"/>
          <w:color w:val="000000" w:themeColor="text1"/>
          <w:sz w:val="24"/>
          <w:szCs w:val="24"/>
          <w:lang w:val="en-AU"/>
        </w:rPr>
      </w:pPr>
      <w:r w:rsidRPr="00DF2DE5">
        <w:rPr>
          <w:rFonts w:ascii="Arial" w:hAnsi="Arial" w:cs="Arial"/>
          <w:b/>
          <w:color w:val="000000" w:themeColor="text1"/>
          <w:sz w:val="24"/>
          <w:szCs w:val="24"/>
          <w:lang w:val="en-AU"/>
        </w:rPr>
        <w:lastRenderedPageBreak/>
        <w:t xml:space="preserve">Correspondence </w:t>
      </w:r>
      <w:r w:rsidRPr="00DF2DE5">
        <w:rPr>
          <w:rFonts w:ascii="Arial" w:hAnsi="Arial" w:cs="Arial"/>
          <w:color w:val="000000" w:themeColor="text1"/>
          <w:sz w:val="24"/>
          <w:szCs w:val="24"/>
          <w:lang w:val="en-AU"/>
        </w:rPr>
        <w:t xml:space="preserve">to Prof. </w:t>
      </w:r>
      <w:proofErr w:type="spellStart"/>
      <w:r w:rsidRPr="00DF2DE5">
        <w:rPr>
          <w:rFonts w:ascii="Arial" w:hAnsi="Arial" w:cs="Arial"/>
          <w:color w:val="000000" w:themeColor="text1"/>
          <w:sz w:val="24"/>
          <w:szCs w:val="24"/>
          <w:lang w:val="en-AU"/>
        </w:rPr>
        <w:t>Jaber</w:t>
      </w:r>
      <w:proofErr w:type="spellEnd"/>
      <w:r w:rsidRPr="00DF2DE5">
        <w:rPr>
          <w:rFonts w:ascii="Arial" w:hAnsi="Arial" w:cs="Arial"/>
          <w:color w:val="000000" w:themeColor="text1"/>
          <w:sz w:val="24"/>
          <w:szCs w:val="24"/>
          <w:lang w:val="en-AU"/>
        </w:rPr>
        <w:t xml:space="preserve">, Department of Critical Care Medicine and </w:t>
      </w:r>
      <w:proofErr w:type="spellStart"/>
      <w:r w:rsidRPr="00DF2DE5">
        <w:rPr>
          <w:rFonts w:ascii="Arial" w:hAnsi="Arial" w:cs="Arial"/>
          <w:color w:val="000000" w:themeColor="text1"/>
          <w:sz w:val="24"/>
          <w:szCs w:val="24"/>
          <w:lang w:val="en-AU"/>
        </w:rPr>
        <w:t>Anesthesiology</w:t>
      </w:r>
      <w:proofErr w:type="spellEnd"/>
      <w:r w:rsidRPr="00DF2DE5">
        <w:rPr>
          <w:rFonts w:ascii="Arial" w:hAnsi="Arial" w:cs="Arial"/>
          <w:color w:val="000000" w:themeColor="text1"/>
          <w:sz w:val="24"/>
          <w:szCs w:val="24"/>
          <w:lang w:val="en-AU"/>
        </w:rPr>
        <w:t xml:space="preserve">, Saint </w:t>
      </w:r>
      <w:proofErr w:type="spellStart"/>
      <w:r w:rsidRPr="00DF2DE5">
        <w:rPr>
          <w:rFonts w:ascii="Arial" w:hAnsi="Arial" w:cs="Arial"/>
          <w:color w:val="000000" w:themeColor="text1"/>
          <w:sz w:val="24"/>
          <w:szCs w:val="24"/>
          <w:lang w:val="en-AU"/>
        </w:rPr>
        <w:t>Eloi</w:t>
      </w:r>
      <w:proofErr w:type="spellEnd"/>
      <w:r w:rsidRPr="00DF2DE5">
        <w:rPr>
          <w:rFonts w:ascii="Arial" w:hAnsi="Arial" w:cs="Arial"/>
          <w:color w:val="000000" w:themeColor="text1"/>
          <w:sz w:val="24"/>
          <w:szCs w:val="24"/>
          <w:lang w:val="en-AU"/>
        </w:rPr>
        <w:t xml:space="preserve"> Teaching Hospital; 80 avenue </w:t>
      </w:r>
      <w:proofErr w:type="spellStart"/>
      <w:r w:rsidRPr="00DF2DE5">
        <w:rPr>
          <w:rFonts w:ascii="Arial" w:hAnsi="Arial" w:cs="Arial"/>
          <w:color w:val="000000" w:themeColor="text1"/>
          <w:sz w:val="24"/>
          <w:szCs w:val="24"/>
          <w:lang w:val="en-AU"/>
        </w:rPr>
        <w:t>Augustin</w:t>
      </w:r>
      <w:proofErr w:type="spellEnd"/>
      <w:r w:rsidRPr="00DF2DE5">
        <w:rPr>
          <w:rFonts w:ascii="Arial" w:hAnsi="Arial" w:cs="Arial"/>
          <w:color w:val="000000" w:themeColor="text1"/>
          <w:sz w:val="24"/>
          <w:szCs w:val="24"/>
          <w:lang w:val="en-AU"/>
        </w:rPr>
        <w:t xml:space="preserve"> </w:t>
      </w:r>
      <w:proofErr w:type="spellStart"/>
      <w:r w:rsidRPr="00DF2DE5">
        <w:rPr>
          <w:rFonts w:ascii="Arial" w:hAnsi="Arial" w:cs="Arial"/>
          <w:color w:val="000000" w:themeColor="text1"/>
          <w:sz w:val="24"/>
          <w:szCs w:val="24"/>
          <w:lang w:val="en-AU"/>
        </w:rPr>
        <w:t>Fliche</w:t>
      </w:r>
      <w:proofErr w:type="spellEnd"/>
      <w:r w:rsidRPr="00DF2DE5">
        <w:rPr>
          <w:rFonts w:ascii="Arial" w:hAnsi="Arial" w:cs="Arial"/>
          <w:color w:val="000000" w:themeColor="text1"/>
          <w:sz w:val="24"/>
          <w:szCs w:val="24"/>
          <w:lang w:val="en-AU"/>
        </w:rPr>
        <w:t xml:space="preserve">, F-34295 Montpellier, </w:t>
      </w:r>
      <w:proofErr w:type="spellStart"/>
      <w:r w:rsidRPr="00DF2DE5">
        <w:rPr>
          <w:rFonts w:ascii="Arial" w:hAnsi="Arial" w:cs="Arial"/>
          <w:color w:val="000000" w:themeColor="text1"/>
          <w:sz w:val="24"/>
          <w:szCs w:val="24"/>
          <w:lang w:val="en-AU"/>
        </w:rPr>
        <w:t>Cedex</w:t>
      </w:r>
      <w:proofErr w:type="spellEnd"/>
      <w:r w:rsidRPr="00DF2DE5">
        <w:rPr>
          <w:rFonts w:ascii="Arial" w:hAnsi="Arial" w:cs="Arial"/>
          <w:color w:val="000000" w:themeColor="text1"/>
          <w:sz w:val="24"/>
          <w:szCs w:val="24"/>
          <w:lang w:val="en-AU"/>
        </w:rPr>
        <w:t xml:space="preserve"> 5 and </w:t>
      </w:r>
      <w:proofErr w:type="spellStart"/>
      <w:r w:rsidRPr="00DF2DE5">
        <w:rPr>
          <w:rFonts w:ascii="Arial" w:hAnsi="Arial" w:cs="Arial"/>
          <w:color w:val="000000" w:themeColor="text1"/>
          <w:sz w:val="24"/>
          <w:szCs w:val="24"/>
          <w:lang w:val="en-AU"/>
        </w:rPr>
        <w:t>Institut</w:t>
      </w:r>
      <w:proofErr w:type="spellEnd"/>
      <w:r w:rsidRPr="00DF2DE5">
        <w:rPr>
          <w:rFonts w:ascii="Arial" w:hAnsi="Arial" w:cs="Arial"/>
          <w:color w:val="000000" w:themeColor="text1"/>
          <w:sz w:val="24"/>
          <w:szCs w:val="24"/>
          <w:lang w:val="en-AU"/>
        </w:rPr>
        <w:t xml:space="preserve"> National de la Santé et de la Recherche </w:t>
      </w:r>
      <w:proofErr w:type="spellStart"/>
      <w:r w:rsidRPr="00DF2DE5">
        <w:rPr>
          <w:rFonts w:ascii="Arial" w:hAnsi="Arial" w:cs="Arial"/>
          <w:color w:val="000000" w:themeColor="text1"/>
          <w:sz w:val="24"/>
          <w:szCs w:val="24"/>
          <w:lang w:val="en-AU"/>
        </w:rPr>
        <w:t>Médicale</w:t>
      </w:r>
      <w:proofErr w:type="spellEnd"/>
      <w:r w:rsidRPr="00DF2DE5">
        <w:rPr>
          <w:rFonts w:ascii="Arial" w:hAnsi="Arial" w:cs="Arial"/>
          <w:color w:val="000000" w:themeColor="text1"/>
          <w:sz w:val="24"/>
          <w:szCs w:val="24"/>
          <w:lang w:val="en-AU"/>
        </w:rPr>
        <w:t xml:space="preserve"> / Centre National de la Recherche </w:t>
      </w:r>
      <w:proofErr w:type="spellStart"/>
      <w:r w:rsidRPr="00DF2DE5">
        <w:rPr>
          <w:rFonts w:ascii="Arial" w:hAnsi="Arial" w:cs="Arial"/>
          <w:color w:val="000000" w:themeColor="text1"/>
          <w:sz w:val="24"/>
          <w:szCs w:val="24"/>
          <w:lang w:val="en-AU"/>
        </w:rPr>
        <w:t>Scientifique</w:t>
      </w:r>
      <w:proofErr w:type="spellEnd"/>
      <w:r w:rsidRPr="00DF2DE5">
        <w:rPr>
          <w:rFonts w:ascii="Arial" w:hAnsi="Arial" w:cs="Arial"/>
          <w:color w:val="000000" w:themeColor="text1"/>
          <w:sz w:val="24"/>
          <w:szCs w:val="24"/>
          <w:lang w:val="en-AU"/>
        </w:rPr>
        <w:t xml:space="preserve"> (INSERM U-1046, CNRS 9234), Montpellier University, Montpellier, France</w:t>
      </w:r>
    </w:p>
    <w:p w:rsidR="00793560" w:rsidRPr="00DF2DE5" w:rsidRDefault="00793560" w:rsidP="00793560">
      <w:pPr>
        <w:spacing w:line="480" w:lineRule="auto"/>
        <w:rPr>
          <w:rFonts w:ascii="Arial" w:hAnsi="Arial" w:cs="Arial"/>
          <w:color w:val="000000" w:themeColor="text1"/>
          <w:sz w:val="24"/>
          <w:szCs w:val="24"/>
        </w:rPr>
      </w:pPr>
      <w:r w:rsidRPr="00DF2DE5">
        <w:rPr>
          <w:rFonts w:ascii="Arial" w:hAnsi="Arial" w:cs="Arial"/>
          <w:color w:val="000000" w:themeColor="text1"/>
          <w:sz w:val="24"/>
          <w:szCs w:val="24"/>
        </w:rPr>
        <w:t>Phone: (33) 4 67 33 72 71</w:t>
      </w:r>
    </w:p>
    <w:p w:rsidR="00793560" w:rsidRPr="00DF2DE5" w:rsidRDefault="00793560" w:rsidP="00793560">
      <w:pPr>
        <w:spacing w:line="480" w:lineRule="auto"/>
        <w:rPr>
          <w:rFonts w:ascii="Arial" w:hAnsi="Arial" w:cs="Arial"/>
          <w:color w:val="000000" w:themeColor="text1"/>
          <w:sz w:val="24"/>
          <w:szCs w:val="24"/>
        </w:rPr>
      </w:pPr>
      <w:r w:rsidRPr="00DF2DE5">
        <w:rPr>
          <w:rFonts w:ascii="Arial" w:hAnsi="Arial" w:cs="Arial"/>
          <w:color w:val="000000" w:themeColor="text1"/>
          <w:sz w:val="24"/>
          <w:szCs w:val="24"/>
        </w:rPr>
        <w:t>Fax: (33) 4 67 33 74 48</w:t>
      </w:r>
    </w:p>
    <w:p w:rsidR="00793560" w:rsidRDefault="00793560" w:rsidP="00793560">
      <w:pPr>
        <w:autoSpaceDE w:val="0"/>
        <w:autoSpaceDN w:val="0"/>
        <w:adjustRightInd w:val="0"/>
        <w:snapToGrid w:val="0"/>
        <w:spacing w:line="480" w:lineRule="auto"/>
        <w:rPr>
          <w:rStyle w:val="Hyperlink"/>
          <w:rFonts w:ascii="Arial" w:hAnsi="Arial" w:cs="Arial"/>
          <w:color w:val="000000" w:themeColor="text1"/>
          <w:sz w:val="24"/>
          <w:szCs w:val="24"/>
        </w:rPr>
      </w:pPr>
      <w:r w:rsidRPr="00DF2DE5">
        <w:rPr>
          <w:rFonts w:ascii="Arial" w:hAnsi="Arial" w:cs="Arial"/>
          <w:color w:val="000000" w:themeColor="text1"/>
          <w:sz w:val="24"/>
          <w:szCs w:val="24"/>
        </w:rPr>
        <w:t xml:space="preserve">E-mail: </w:t>
      </w:r>
      <w:hyperlink r:id="rId7" w:history="1">
        <w:r w:rsidRPr="00DF2DE5">
          <w:rPr>
            <w:rStyle w:val="Hyperlink"/>
            <w:rFonts w:ascii="Arial" w:hAnsi="Arial" w:cs="Arial"/>
            <w:color w:val="000000" w:themeColor="text1"/>
            <w:sz w:val="24"/>
            <w:szCs w:val="24"/>
          </w:rPr>
          <w:t>s-jaber@chu-montpellier.fr</w:t>
        </w:r>
      </w:hyperlink>
    </w:p>
    <w:p w:rsidR="00793560" w:rsidRDefault="00793560" w:rsidP="00793560">
      <w:pPr>
        <w:autoSpaceDE w:val="0"/>
        <w:autoSpaceDN w:val="0"/>
        <w:adjustRightInd w:val="0"/>
        <w:snapToGrid w:val="0"/>
        <w:spacing w:line="240" w:lineRule="auto"/>
        <w:rPr>
          <w:rStyle w:val="Hyperlink"/>
          <w:rFonts w:ascii="Arial" w:hAnsi="Arial" w:cs="Arial"/>
          <w:color w:val="000000" w:themeColor="text1"/>
          <w:sz w:val="24"/>
          <w:szCs w:val="24"/>
        </w:rPr>
      </w:pPr>
    </w:p>
    <w:p w:rsidR="00793560" w:rsidRDefault="00793560" w:rsidP="00793560">
      <w:pPr>
        <w:autoSpaceDE w:val="0"/>
        <w:autoSpaceDN w:val="0"/>
        <w:adjustRightInd w:val="0"/>
        <w:snapToGri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Email adresses : </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Martin </w:t>
      </w:r>
      <w:proofErr w:type="spellStart"/>
      <w:r>
        <w:rPr>
          <w:rFonts w:ascii="Arial" w:hAnsi="Arial" w:cs="Arial"/>
          <w:color w:val="000000" w:themeColor="text1"/>
          <w:sz w:val="24"/>
          <w:szCs w:val="24"/>
        </w:rPr>
        <w:t>Mahul</w:t>
      </w:r>
      <w:proofErr w:type="spellEnd"/>
      <w:r>
        <w:rPr>
          <w:rFonts w:ascii="Arial" w:hAnsi="Arial" w:cs="Arial"/>
          <w:color w:val="000000" w:themeColor="text1"/>
          <w:sz w:val="24"/>
          <w:szCs w:val="24"/>
        </w:rPr>
        <w:t> : m-mahul@chu-montpellier.fr</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sidRPr="00A1393F">
        <w:rPr>
          <w:rFonts w:ascii="Arial" w:hAnsi="Arial" w:cs="Arial"/>
          <w:color w:val="000000" w:themeColor="text1"/>
          <w:sz w:val="24"/>
          <w:szCs w:val="24"/>
        </w:rPr>
        <w:t>Boris Jung</w:t>
      </w:r>
      <w:r>
        <w:rPr>
          <w:rFonts w:ascii="Arial" w:hAnsi="Arial" w:cs="Arial"/>
          <w:color w:val="000000" w:themeColor="text1"/>
          <w:sz w:val="24"/>
          <w:szCs w:val="24"/>
        </w:rPr>
        <w:t> : b-jung@chu-montpellier.fr</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Fabrice </w:t>
      </w:r>
      <w:proofErr w:type="spellStart"/>
      <w:r>
        <w:rPr>
          <w:rFonts w:ascii="Arial" w:hAnsi="Arial" w:cs="Arial"/>
          <w:color w:val="000000" w:themeColor="text1"/>
          <w:sz w:val="24"/>
          <w:szCs w:val="24"/>
        </w:rPr>
        <w:t>Galia</w:t>
      </w:r>
      <w:proofErr w:type="spellEnd"/>
      <w:r>
        <w:rPr>
          <w:rFonts w:ascii="Arial" w:hAnsi="Arial" w:cs="Arial"/>
          <w:color w:val="000000" w:themeColor="text1"/>
          <w:sz w:val="24"/>
          <w:szCs w:val="24"/>
        </w:rPr>
        <w:t> : f-galia@chu-montpellier.fr</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Nicolas </w:t>
      </w:r>
      <w:proofErr w:type="spellStart"/>
      <w:r>
        <w:rPr>
          <w:rFonts w:ascii="Arial" w:hAnsi="Arial" w:cs="Arial"/>
          <w:color w:val="000000" w:themeColor="text1"/>
          <w:sz w:val="24"/>
          <w:szCs w:val="24"/>
        </w:rPr>
        <w:t>Molinari</w:t>
      </w:r>
      <w:proofErr w:type="spellEnd"/>
      <w:r>
        <w:rPr>
          <w:rFonts w:ascii="Arial" w:hAnsi="Arial" w:cs="Arial"/>
          <w:color w:val="000000" w:themeColor="text1"/>
          <w:sz w:val="24"/>
          <w:szCs w:val="24"/>
        </w:rPr>
        <w:t> : n-molinari@chu-montpellier.fr</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Audrey de Jong : a-de_jong@chu-montpellier.fr</w:t>
      </w:r>
    </w:p>
    <w:p w:rsidR="00793560" w:rsidRDefault="00793560" w:rsidP="00793560">
      <w:pPr>
        <w:autoSpaceDE w:val="0"/>
        <w:autoSpaceDN w:val="0"/>
        <w:adjustRightInd w:val="0"/>
        <w:spacing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Yannaël</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Coisel</w:t>
      </w:r>
      <w:proofErr w:type="spellEnd"/>
      <w:r>
        <w:rPr>
          <w:rFonts w:ascii="Arial" w:hAnsi="Arial" w:cs="Arial"/>
          <w:color w:val="000000" w:themeColor="text1"/>
          <w:sz w:val="24"/>
          <w:szCs w:val="24"/>
        </w:rPr>
        <w:t xml:space="preserve"> : </w:t>
      </w:r>
      <w:r w:rsidRPr="00A1393F">
        <w:rPr>
          <w:rFonts w:ascii="Arial" w:hAnsi="Arial" w:cs="Arial"/>
          <w:color w:val="000000" w:themeColor="text1"/>
          <w:sz w:val="24"/>
          <w:szCs w:val="24"/>
        </w:rPr>
        <w:t>yannacoi@free.fr</w:t>
      </w:r>
    </w:p>
    <w:p w:rsidR="00793560" w:rsidRDefault="00793560" w:rsidP="00793560">
      <w:pPr>
        <w:autoSpaceDE w:val="0"/>
        <w:autoSpaceDN w:val="0"/>
        <w:adjustRightInd w:val="0"/>
        <w:spacing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Rosanna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Vaschetto</w:t>
      </w:r>
      <w:proofErr w:type="spellEnd"/>
      <w:r>
        <w:rPr>
          <w:rFonts w:ascii="Arial" w:hAnsi="Arial" w:cs="Arial"/>
          <w:color w:val="000000" w:themeColor="text1"/>
          <w:sz w:val="24"/>
          <w:szCs w:val="24"/>
        </w:rPr>
        <w:t xml:space="preserve"> : </w:t>
      </w:r>
      <w:r w:rsidRPr="00A1393F">
        <w:rPr>
          <w:rFonts w:ascii="Arial" w:hAnsi="Arial" w:cs="Arial"/>
          <w:color w:val="000000" w:themeColor="text1"/>
          <w:sz w:val="24"/>
          <w:szCs w:val="24"/>
        </w:rPr>
        <w:t>rosanna.vaschetto@med.unipmn.it</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Stefan </w:t>
      </w:r>
      <w:proofErr w:type="spellStart"/>
      <w:r>
        <w:rPr>
          <w:rFonts w:ascii="Arial" w:hAnsi="Arial" w:cs="Arial"/>
          <w:color w:val="000000" w:themeColor="text1"/>
          <w:sz w:val="24"/>
          <w:szCs w:val="24"/>
        </w:rPr>
        <w:t>Matecki</w:t>
      </w:r>
      <w:proofErr w:type="spellEnd"/>
      <w:r>
        <w:rPr>
          <w:rFonts w:ascii="Arial" w:hAnsi="Arial" w:cs="Arial"/>
          <w:color w:val="000000" w:themeColor="text1"/>
          <w:sz w:val="24"/>
          <w:szCs w:val="24"/>
        </w:rPr>
        <w:t> : s-matecki@chu-montpellier.fr</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Gérald </w:t>
      </w:r>
      <w:proofErr w:type="spellStart"/>
      <w:r>
        <w:rPr>
          <w:rFonts w:ascii="Arial" w:hAnsi="Arial" w:cs="Arial"/>
          <w:color w:val="000000" w:themeColor="text1"/>
          <w:sz w:val="24"/>
          <w:szCs w:val="24"/>
        </w:rPr>
        <w:t>Chanques</w:t>
      </w:r>
      <w:proofErr w:type="spellEnd"/>
      <w:r>
        <w:rPr>
          <w:rFonts w:ascii="Arial" w:hAnsi="Arial" w:cs="Arial"/>
          <w:color w:val="000000" w:themeColor="text1"/>
          <w:sz w:val="24"/>
          <w:szCs w:val="24"/>
        </w:rPr>
        <w:t> : g-chanques@chu-montpellier.fr</w:t>
      </w:r>
    </w:p>
    <w:p w:rsidR="00793560"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 Laurent Brochard : </w:t>
      </w:r>
      <w:r w:rsidRPr="00A1393F">
        <w:rPr>
          <w:rFonts w:ascii="Arial" w:hAnsi="Arial" w:cs="Arial"/>
          <w:color w:val="000000" w:themeColor="text1"/>
          <w:sz w:val="24"/>
          <w:szCs w:val="24"/>
        </w:rPr>
        <w:t>BrochardL@smh.ca</w:t>
      </w:r>
    </w:p>
    <w:p w:rsidR="00793560" w:rsidRPr="00A1393F" w:rsidRDefault="00793560" w:rsidP="00793560">
      <w:pPr>
        <w:autoSpaceDE w:val="0"/>
        <w:autoSpaceDN w:val="0"/>
        <w:adjustRightInd w:val="0"/>
        <w:spacing w:line="240" w:lineRule="auto"/>
        <w:rPr>
          <w:rFonts w:ascii="Arial" w:hAnsi="Arial" w:cs="Arial"/>
          <w:color w:val="000000" w:themeColor="text1"/>
          <w:sz w:val="24"/>
          <w:szCs w:val="24"/>
        </w:rPr>
      </w:pPr>
      <w:r>
        <w:rPr>
          <w:rFonts w:ascii="Arial" w:hAnsi="Arial" w:cs="Arial"/>
          <w:color w:val="000000" w:themeColor="text1"/>
          <w:sz w:val="24"/>
          <w:szCs w:val="24"/>
        </w:rPr>
        <w:t xml:space="preserve">Samir </w:t>
      </w:r>
      <w:proofErr w:type="spellStart"/>
      <w:r>
        <w:rPr>
          <w:rFonts w:ascii="Arial" w:hAnsi="Arial" w:cs="Arial"/>
          <w:color w:val="000000" w:themeColor="text1"/>
          <w:sz w:val="24"/>
          <w:szCs w:val="24"/>
        </w:rPr>
        <w:t>Jaber</w:t>
      </w:r>
      <w:proofErr w:type="spellEnd"/>
      <w:r>
        <w:rPr>
          <w:rFonts w:ascii="Arial" w:hAnsi="Arial" w:cs="Arial"/>
          <w:color w:val="000000" w:themeColor="text1"/>
          <w:sz w:val="24"/>
          <w:szCs w:val="24"/>
        </w:rPr>
        <w:t> : s-jaber@chu-montpellier.fr</w:t>
      </w:r>
    </w:p>
    <w:p w:rsidR="00793560" w:rsidRDefault="00793560" w:rsidP="009739B6">
      <w:pPr>
        <w:spacing w:line="480" w:lineRule="auto"/>
        <w:rPr>
          <w:rFonts w:ascii="Arial" w:hAnsi="Arial" w:cs="Arial"/>
          <w:color w:val="000000" w:themeColor="text1"/>
          <w:sz w:val="24"/>
          <w:szCs w:val="24"/>
          <w:lang w:val="en-US"/>
        </w:rPr>
        <w:sectPr w:rsidR="00793560" w:rsidSect="00075BF3">
          <w:footerReference w:type="default" r:id="rId8"/>
          <w:pgSz w:w="11906" w:h="16838"/>
          <w:pgMar w:top="1418" w:right="1418" w:bottom="1418" w:left="1418" w:header="709" w:footer="709" w:gutter="0"/>
          <w:pgNumType w:start="1"/>
          <w:cols w:space="708"/>
          <w:titlePg/>
          <w:docGrid w:linePitch="360"/>
        </w:sect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lastRenderedPageBreak/>
        <w:t>Methods</w:t>
      </w:r>
    </w:p>
    <w:p w:rsidR="0073488D" w:rsidRPr="00793560" w:rsidRDefault="0073488D" w:rsidP="009739B6">
      <w:pPr>
        <w:spacing w:line="480" w:lineRule="auto"/>
        <w:rPr>
          <w:rFonts w:asciiTheme="minorHAnsi" w:hAnsiTheme="minorHAnsi" w:cs="Arial"/>
          <w:color w:val="000000" w:themeColor="text1"/>
          <w:sz w:val="24"/>
          <w:szCs w:val="24"/>
          <w:lang w:val="en-US"/>
        </w:r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Patients</w:t>
      </w:r>
    </w:p>
    <w:p w:rsidR="0073488D" w:rsidRDefault="00FA20CF"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 xml:space="preserve">Patients with the </w:t>
      </w:r>
      <w:r w:rsidRPr="0091214D">
        <w:rPr>
          <w:rFonts w:ascii="Arial" w:hAnsi="Arial" w:cs="Arial"/>
          <w:color w:val="000000" w:themeColor="text1"/>
          <w:sz w:val="24"/>
          <w:szCs w:val="24"/>
          <w:lang w:val="en-AU"/>
        </w:rPr>
        <w:t>following respiratory parameters: FiO</w:t>
      </w:r>
      <w:r w:rsidRPr="0091214D">
        <w:rPr>
          <w:rFonts w:ascii="Arial" w:hAnsi="Arial" w:cs="Arial"/>
          <w:color w:val="000000" w:themeColor="text1"/>
          <w:sz w:val="24"/>
          <w:szCs w:val="24"/>
          <w:vertAlign w:val="subscript"/>
          <w:lang w:val="en-AU"/>
        </w:rPr>
        <w:t>2</w:t>
      </w:r>
      <w:r w:rsidRPr="0091214D">
        <w:rPr>
          <w:rFonts w:ascii="Arial" w:hAnsi="Arial" w:cs="Arial"/>
          <w:color w:val="000000" w:themeColor="text1"/>
          <w:sz w:val="24"/>
          <w:szCs w:val="24"/>
          <w:lang w:val="en-AU"/>
        </w:rPr>
        <w:t xml:space="preserve"> </w:t>
      </w:r>
      <m:oMath>
        <m:r>
          <w:rPr>
            <w:rFonts w:ascii="Cambria Math" w:hAnsi="Cambria Math" w:cs="Arial"/>
            <w:color w:val="000000" w:themeColor="text1"/>
            <w:sz w:val="24"/>
            <w:szCs w:val="24"/>
            <w:lang w:val="en-AU"/>
          </w:rPr>
          <m:t>≤</m:t>
        </m:r>
      </m:oMath>
      <w:r w:rsidRPr="0091214D">
        <w:rPr>
          <w:rFonts w:ascii="Arial" w:hAnsi="Arial" w:cs="Arial"/>
          <w:color w:val="000000" w:themeColor="text1"/>
          <w:sz w:val="24"/>
          <w:szCs w:val="24"/>
          <w:lang w:val="en-AU"/>
        </w:rPr>
        <w:t xml:space="preserve"> 50% with PEEP ≤ 10 cmH</w:t>
      </w:r>
      <w:r w:rsidRPr="0091214D">
        <w:rPr>
          <w:rFonts w:ascii="Arial" w:hAnsi="Arial" w:cs="Arial"/>
          <w:color w:val="000000" w:themeColor="text1"/>
          <w:sz w:val="24"/>
          <w:szCs w:val="24"/>
          <w:vertAlign w:val="subscript"/>
          <w:lang w:val="en-AU"/>
        </w:rPr>
        <w:t>2</w:t>
      </w:r>
      <w:r w:rsidRPr="0091214D">
        <w:rPr>
          <w:rFonts w:ascii="Arial" w:hAnsi="Arial" w:cs="Arial"/>
          <w:color w:val="000000" w:themeColor="text1"/>
          <w:sz w:val="24"/>
          <w:szCs w:val="24"/>
          <w:lang w:val="en-AU"/>
        </w:rPr>
        <w:t xml:space="preserve">O were screened </w:t>
      </w:r>
      <w:r w:rsidR="00CB410A" w:rsidRPr="0091214D">
        <w:rPr>
          <w:rFonts w:ascii="Arial" w:hAnsi="Arial" w:cs="Arial"/>
          <w:color w:val="000000" w:themeColor="text1"/>
          <w:sz w:val="24"/>
          <w:szCs w:val="24"/>
          <w:lang w:val="en-AU"/>
        </w:rPr>
        <w:t>daily for enrolment</w:t>
      </w:r>
      <w:r w:rsidRPr="0091214D">
        <w:rPr>
          <w:rFonts w:ascii="Arial" w:hAnsi="Arial" w:cs="Arial"/>
          <w:color w:val="000000" w:themeColor="text1"/>
          <w:sz w:val="24"/>
          <w:szCs w:val="24"/>
          <w:lang w:val="en-AU"/>
        </w:rPr>
        <w:t xml:space="preserve"> in the study. </w:t>
      </w:r>
      <w:r w:rsidR="0073488D" w:rsidRPr="0091214D">
        <w:rPr>
          <w:rFonts w:ascii="Arial" w:hAnsi="Arial" w:cs="Arial"/>
          <w:color w:val="000000" w:themeColor="text1"/>
          <w:sz w:val="24"/>
          <w:szCs w:val="24"/>
          <w:lang w:val="en-US"/>
        </w:rPr>
        <w:t>Contraindications to insertion of an esophageal catheter were upper gastrointestinal bleeding, recent esophageal or gastric surgery or history of esophageal perforation. We did not considered as eligible patients with high risk of weaning test failure</w:t>
      </w:r>
      <w:r w:rsidR="00404B13" w:rsidRPr="0091214D">
        <w:rPr>
          <w:rFonts w:ascii="Arial" w:hAnsi="Arial" w:cs="Arial"/>
          <w:color w:val="000000" w:themeColor="text1"/>
          <w:sz w:val="24"/>
          <w:szCs w:val="24"/>
          <w:lang w:val="en-US"/>
        </w:rPr>
        <w:t xml:space="preserve">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50yipltd","properties":{"formattedCitation":"[1]","plainCitation":"[1]"},"citationItems":[{"id":1458,"uris":["http://zotero.org/users/1212533/items/URZETUZX"],"uri":["http://zotero.org/users/1212533/items/URZETUZX"],"itemData":{"id":1458,"type":"article-journal","title":"Weaning from mechanical ventilation","container-title":"European Respiratory Journal","page":"1033–1056","volume":"29","issue":"5","source":"Google Scholar","author":[{"family":"Boles","given":"J. M."},{"family":"Bion","given":"J."},{"family":"Connors","given":"A."},{"family":"Herridge","given":"M."},{"family":"Marsh","given":"B."},{"family":"Melot","given":"C."},{"family":"Pearl","given":"R."},{"family":"Silverman","given":"H."},{"family":"Stanchina","given":"M."},{"family":"Vieillard-Baron","given":"A."}],"issued":{"date-parts":[["2007"]]}}}],"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[1]</w:t>
      </w:r>
      <w:r w:rsidR="002F0453" w:rsidRPr="0091214D">
        <w:rPr>
          <w:rFonts w:ascii="Arial" w:hAnsi="Arial" w:cs="Arial"/>
          <w:color w:val="000000" w:themeColor="text1"/>
          <w:sz w:val="24"/>
          <w:szCs w:val="24"/>
          <w:lang w:val="en-US"/>
        </w:rPr>
        <w:fldChar w:fldCharType="end"/>
      </w:r>
      <w:r w:rsidR="0073488D" w:rsidRPr="0091214D">
        <w:rPr>
          <w:rFonts w:ascii="Arial" w:hAnsi="Arial" w:cs="Arial"/>
          <w:color w:val="000000" w:themeColor="text1"/>
          <w:sz w:val="24"/>
          <w:szCs w:val="24"/>
          <w:lang w:val="en-US"/>
        </w:rPr>
        <w:t>: PaO</w:t>
      </w:r>
      <w:r w:rsidR="0073488D" w:rsidRPr="0091214D">
        <w:rPr>
          <w:rFonts w:ascii="Arial" w:hAnsi="Arial" w:cs="Arial"/>
          <w:color w:val="000000" w:themeColor="text1"/>
          <w:sz w:val="24"/>
          <w:szCs w:val="24"/>
          <w:vertAlign w:val="subscript"/>
          <w:lang w:val="en-US"/>
        </w:rPr>
        <w:t>2</w:t>
      </w:r>
      <w:r w:rsidR="0073488D" w:rsidRPr="0091214D">
        <w:rPr>
          <w:rFonts w:ascii="Arial" w:hAnsi="Arial" w:cs="Arial"/>
          <w:color w:val="000000" w:themeColor="text1"/>
          <w:sz w:val="24"/>
          <w:szCs w:val="24"/>
          <w:lang w:val="en-US"/>
        </w:rPr>
        <w:t>/FiO</w:t>
      </w:r>
      <w:r w:rsidR="0073488D" w:rsidRPr="0091214D">
        <w:rPr>
          <w:rFonts w:ascii="Arial" w:hAnsi="Arial" w:cs="Arial"/>
          <w:color w:val="000000" w:themeColor="text1"/>
          <w:sz w:val="24"/>
          <w:szCs w:val="24"/>
          <w:vertAlign w:val="subscript"/>
          <w:lang w:val="en-US"/>
        </w:rPr>
        <w:t>2</w:t>
      </w:r>
      <w:r w:rsidR="0073488D" w:rsidRPr="0091214D">
        <w:rPr>
          <w:rFonts w:ascii="Arial" w:hAnsi="Arial" w:cs="Arial"/>
          <w:color w:val="000000" w:themeColor="text1"/>
          <w:sz w:val="24"/>
          <w:szCs w:val="24"/>
          <w:lang w:val="en-US"/>
        </w:rPr>
        <w:t>&lt; 150, pressure support ventilation (PSV) superior to 20 cmH</w:t>
      </w:r>
      <w:r w:rsidR="0073488D" w:rsidRPr="0091214D">
        <w:rPr>
          <w:rFonts w:ascii="Arial" w:hAnsi="Arial" w:cs="Arial"/>
          <w:color w:val="000000" w:themeColor="text1"/>
          <w:sz w:val="24"/>
          <w:szCs w:val="24"/>
          <w:vertAlign w:val="subscript"/>
          <w:lang w:val="en-US"/>
        </w:rPr>
        <w:t>2</w:t>
      </w:r>
      <w:r w:rsidR="0073488D" w:rsidRPr="0091214D">
        <w:rPr>
          <w:rFonts w:ascii="Arial" w:hAnsi="Arial" w:cs="Arial"/>
          <w:color w:val="000000" w:themeColor="text1"/>
          <w:sz w:val="24"/>
          <w:szCs w:val="24"/>
          <w:lang w:val="en-US"/>
        </w:rPr>
        <w:t>O, PEEP &gt; 10 cmH</w:t>
      </w:r>
      <w:r w:rsidR="0073488D" w:rsidRPr="0091214D">
        <w:rPr>
          <w:rFonts w:ascii="Arial" w:hAnsi="Arial" w:cs="Arial"/>
          <w:color w:val="000000" w:themeColor="text1"/>
          <w:sz w:val="24"/>
          <w:szCs w:val="24"/>
          <w:vertAlign w:val="subscript"/>
          <w:lang w:val="en-US"/>
        </w:rPr>
        <w:t>2</w:t>
      </w:r>
      <w:r w:rsidR="0073488D" w:rsidRPr="0091214D">
        <w:rPr>
          <w:rFonts w:ascii="Arial" w:hAnsi="Arial" w:cs="Arial"/>
          <w:color w:val="000000" w:themeColor="text1"/>
          <w:sz w:val="24"/>
          <w:szCs w:val="24"/>
          <w:lang w:val="en-US"/>
        </w:rPr>
        <w:t>O,</w:t>
      </w:r>
      <w:r w:rsidR="00404B13" w:rsidRPr="0091214D">
        <w:rPr>
          <w:rFonts w:ascii="Arial" w:hAnsi="Arial" w:cs="Arial"/>
          <w:color w:val="000000" w:themeColor="text1"/>
          <w:sz w:val="24"/>
          <w:szCs w:val="24"/>
          <w:lang w:val="en-US"/>
        </w:rPr>
        <w:t xml:space="preserve"> </w:t>
      </w:r>
      <w:r w:rsidR="0073488D" w:rsidRPr="0091214D">
        <w:rPr>
          <w:rFonts w:ascii="Arial" w:hAnsi="Arial" w:cs="Arial"/>
          <w:color w:val="000000" w:themeColor="text1"/>
          <w:sz w:val="24"/>
          <w:szCs w:val="24"/>
          <w:lang w:val="en-US"/>
        </w:rPr>
        <w:t xml:space="preserve">mean arterial blood pressure &lt; 70 mmHg or need for </w:t>
      </w:r>
      <w:proofErr w:type="spellStart"/>
      <w:r w:rsidR="0073488D" w:rsidRPr="0091214D">
        <w:rPr>
          <w:rFonts w:ascii="Arial" w:hAnsi="Arial" w:cs="Arial"/>
          <w:color w:val="000000" w:themeColor="text1"/>
          <w:sz w:val="24"/>
          <w:szCs w:val="24"/>
          <w:lang w:val="en-US"/>
        </w:rPr>
        <w:t>vasopressive</w:t>
      </w:r>
      <w:proofErr w:type="spellEnd"/>
      <w:r w:rsidR="0073488D" w:rsidRPr="0091214D">
        <w:rPr>
          <w:rFonts w:ascii="Arial" w:hAnsi="Arial" w:cs="Arial"/>
          <w:color w:val="000000" w:themeColor="text1"/>
          <w:sz w:val="24"/>
          <w:szCs w:val="24"/>
          <w:lang w:val="en-US"/>
        </w:rPr>
        <w:t xml:space="preserve"> drugs. Pregnant women and children &lt; 18 years old were also not considered eligible.</w:t>
      </w:r>
      <w:r w:rsidRPr="0091214D">
        <w:rPr>
          <w:rFonts w:ascii="Arial" w:hAnsi="Arial" w:cs="Arial"/>
          <w:color w:val="000000" w:themeColor="text1"/>
          <w:sz w:val="24"/>
          <w:szCs w:val="24"/>
          <w:lang w:val="en-US"/>
        </w:rPr>
        <w:t xml:space="preserve"> </w:t>
      </w:r>
    </w:p>
    <w:p w:rsidR="00C61998" w:rsidRPr="0091214D" w:rsidRDefault="00C61998" w:rsidP="009739B6">
      <w:pPr>
        <w:spacing w:line="480" w:lineRule="auto"/>
        <w:rPr>
          <w:rFonts w:ascii="Arial" w:hAnsi="Arial" w:cs="Arial"/>
          <w:color w:val="000000" w:themeColor="text1"/>
          <w:sz w:val="24"/>
          <w:szCs w:val="24"/>
          <w:lang w:val="en-US"/>
        </w:r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Experimental Procedure and Study Design</w:t>
      </w:r>
    </w:p>
    <w:p w:rsidR="0073488D" w:rsidRPr="0091214D" w:rsidRDefault="0073488D" w:rsidP="009739B6">
      <w:pPr>
        <w:spacing w:line="480" w:lineRule="auto"/>
        <w:rPr>
          <w:rFonts w:ascii="Arial" w:hAnsi="Arial" w:cs="Arial"/>
          <w:color w:val="000000" w:themeColor="text1"/>
          <w:sz w:val="24"/>
          <w:szCs w:val="24"/>
          <w:lang w:val="en-US"/>
        </w:rPr>
      </w:pPr>
    </w:p>
    <w:p w:rsidR="00C410F5" w:rsidRPr="0091214D" w:rsidRDefault="00C0363B" w:rsidP="00C410F5">
      <w:pPr>
        <w:widowControl w:val="0"/>
        <w:autoSpaceDE w:val="0"/>
        <w:autoSpaceDN w:val="0"/>
        <w:adjustRightInd w:val="0"/>
        <w:spacing w:line="480" w:lineRule="auto"/>
        <w:rPr>
          <w:rFonts w:ascii="Arial" w:hAnsi="Arial" w:cs="Arial"/>
          <w:color w:val="000000" w:themeColor="text1"/>
          <w:sz w:val="24"/>
          <w:szCs w:val="24"/>
          <w:lang w:val="en-AU"/>
        </w:rPr>
      </w:pPr>
      <w:r w:rsidRPr="00C0363B">
        <w:rPr>
          <w:rFonts w:ascii="Arial" w:hAnsi="Arial" w:cs="Arial"/>
          <w:color w:val="3366FF"/>
          <w:sz w:val="24"/>
          <w:szCs w:val="24"/>
          <w:lang w:val="en-US"/>
        </w:rPr>
        <w:t>According to our local protocol, we stopped enteral nutrition 2h before starting the weaning tests.</w:t>
      </w:r>
      <w:r>
        <w:rPr>
          <w:rFonts w:ascii="Helvetica" w:hAnsi="Helvetica" w:cs="Helvetica"/>
          <w:color w:val="000000" w:themeColor="text1"/>
          <w:lang w:val="en-AU"/>
        </w:rPr>
        <w:t xml:space="preserve"> </w:t>
      </w:r>
      <w:r w:rsidR="0073488D" w:rsidRPr="0091214D">
        <w:rPr>
          <w:rFonts w:ascii="Arial" w:hAnsi="Arial" w:cs="Arial"/>
          <w:color w:val="000000" w:themeColor="text1"/>
          <w:sz w:val="24"/>
          <w:szCs w:val="24"/>
          <w:lang w:val="en-US"/>
        </w:rPr>
        <w:t xml:space="preserve">Before starting the weaning test protocol, a 15 minutes base-line period was respected in which the patient was ventilated and stabilized with the ventilator settings he had before the protocol. </w:t>
      </w:r>
      <w:r w:rsidR="00C410F5" w:rsidRPr="0091214D">
        <w:rPr>
          <w:rFonts w:ascii="Arial" w:hAnsi="Arial" w:cs="Arial"/>
          <w:color w:val="000000" w:themeColor="text1"/>
          <w:sz w:val="24"/>
          <w:szCs w:val="24"/>
          <w:lang w:val="en-AU"/>
        </w:rPr>
        <w:t>Because of immediate post-extubation cough and incomfort that would have influenced the respiratory pattern, a 20 minutes delay was set before measuring the post-</w:t>
      </w:r>
      <w:proofErr w:type="spellStart"/>
      <w:r w:rsidR="00C410F5" w:rsidRPr="0091214D">
        <w:rPr>
          <w:rFonts w:ascii="Arial" w:hAnsi="Arial" w:cs="Arial"/>
          <w:color w:val="000000" w:themeColor="text1"/>
          <w:sz w:val="24"/>
          <w:szCs w:val="24"/>
          <w:lang w:val="en-AU"/>
        </w:rPr>
        <w:t>extubation</w:t>
      </w:r>
      <w:proofErr w:type="spellEnd"/>
      <w:r w:rsidR="00C410F5" w:rsidRPr="0091214D">
        <w:rPr>
          <w:rFonts w:ascii="Arial" w:hAnsi="Arial" w:cs="Arial"/>
          <w:color w:val="000000" w:themeColor="text1"/>
          <w:sz w:val="24"/>
          <w:szCs w:val="24"/>
          <w:lang w:val="en-AU"/>
        </w:rPr>
        <w:t xml:space="preserve"> </w:t>
      </w:r>
      <w:r w:rsidR="00051582">
        <w:rPr>
          <w:rFonts w:ascii="Arial" w:hAnsi="Arial" w:cs="Arial"/>
          <w:color w:val="0000FF"/>
          <w:sz w:val="24"/>
          <w:szCs w:val="24"/>
          <w:lang w:val="en-AU"/>
        </w:rPr>
        <w:t>variables</w:t>
      </w:r>
      <w:r w:rsidR="00C410F5" w:rsidRPr="0091214D">
        <w:rPr>
          <w:rFonts w:ascii="Arial" w:hAnsi="Arial" w:cs="Arial"/>
          <w:color w:val="000000" w:themeColor="text1"/>
          <w:sz w:val="24"/>
          <w:szCs w:val="24"/>
          <w:lang w:val="en-AU"/>
        </w:rPr>
        <w:t xml:space="preserve">. </w:t>
      </w: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Inspired oxygen concentration was kept constant during the study period and all patients were blinded to the changes of the ventilator settings, except for the base-</w:t>
      </w:r>
      <w:r w:rsidRPr="0091214D">
        <w:rPr>
          <w:rFonts w:ascii="Arial" w:hAnsi="Arial" w:cs="Arial"/>
          <w:color w:val="000000" w:themeColor="text1"/>
          <w:sz w:val="24"/>
          <w:szCs w:val="24"/>
          <w:lang w:val="en-US"/>
        </w:rPr>
        <w:lastRenderedPageBreak/>
        <w:t>line return. Respiratory tract suctioning was done only if necessary, preferably during the base-line state periods.</w:t>
      </w: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Decision to extubate or reinstitute mechanical ventilation was made by the primary physician, blinded to the results of the different weaning tests, and based upon the failure criteria of weaning test as def</w:t>
      </w:r>
      <w:r w:rsidR="00404B13" w:rsidRPr="0091214D">
        <w:rPr>
          <w:rFonts w:ascii="Arial" w:hAnsi="Arial" w:cs="Arial"/>
          <w:color w:val="000000" w:themeColor="text1"/>
          <w:sz w:val="24"/>
          <w:szCs w:val="24"/>
          <w:lang w:val="en-US"/>
        </w:rPr>
        <w:t>ined by the European guidelines</w:t>
      </w:r>
      <w:r w:rsidRPr="0091214D">
        <w:rPr>
          <w:rFonts w:ascii="Arial" w:hAnsi="Arial" w:cs="Arial"/>
          <w:color w:val="000000" w:themeColor="text1"/>
          <w:sz w:val="24"/>
          <w:szCs w:val="24"/>
          <w:lang w:val="en-US"/>
        </w:rPr>
        <w:t>.</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Pvy0heGd","properties":{"formattedCitation":"[1]","plainCitation":"[1]"},"citationItems":[{"id":1458,"uris":["http://zotero.org/users/1212533/items/URZETUZX"],"uri":["http://zotero.org/users/1212533/items/URZETUZX"],"itemData":{"id":1458,"type":"article-journal","title":"Weaning from mechanical ventilation","container-title":"European Respiratory Journal","page":"1033–1056","volume":"29","issue":"5","source":"Google Scholar","author":[{"family":"Boles","given":"J. M."},{"family":"Bion","given":"J."},{"family":"Connors","given":"A."},{"family":"Herridge","given":"M."},{"family":"Marsh","given":"B."},{"family":"Melot","given":"C."},{"family":"Pearl","given":"R."},{"family":"Silverman","given":"H."},{"family":"Stanchina","given":"M."},{"family":"Vieillard-Baron","given":"A."}],"issued":{"date-parts":[["2007"]]}}}],"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[1]</w:t>
      </w:r>
      <w:r w:rsidR="002F0453" w:rsidRPr="0091214D">
        <w:rPr>
          <w:rFonts w:ascii="Arial" w:hAnsi="Arial" w:cs="Arial"/>
          <w:color w:val="000000" w:themeColor="text1"/>
          <w:sz w:val="24"/>
          <w:szCs w:val="24"/>
          <w:lang w:val="en-US"/>
        </w:rPr>
        <w:fldChar w:fldCharType="end"/>
      </w:r>
    </w:p>
    <w:p w:rsidR="0073488D" w:rsidRPr="0091214D" w:rsidRDefault="0073488D" w:rsidP="009739B6">
      <w:pPr>
        <w:spacing w:line="480" w:lineRule="auto"/>
        <w:rPr>
          <w:rFonts w:ascii="Arial" w:hAnsi="Arial" w:cs="Arial"/>
          <w:color w:val="000000" w:themeColor="text1"/>
          <w:sz w:val="24"/>
          <w:szCs w:val="24"/>
          <w:lang w:val="en-US"/>
        </w:r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 xml:space="preserve">Monitoring of ventilatory </w:t>
      </w:r>
      <w:bookmarkStart w:id="0" w:name="_GoBack"/>
      <w:r w:rsidRPr="0091214D">
        <w:rPr>
          <w:rFonts w:ascii="Arial" w:hAnsi="Arial" w:cs="Arial"/>
          <w:color w:val="000000" w:themeColor="text1"/>
          <w:sz w:val="24"/>
          <w:szCs w:val="24"/>
          <w:lang w:val="en-US"/>
        </w:rPr>
        <w:t>parame</w:t>
      </w:r>
      <w:bookmarkEnd w:id="0"/>
      <w:r w:rsidRPr="0091214D">
        <w:rPr>
          <w:rFonts w:ascii="Arial" w:hAnsi="Arial" w:cs="Arial"/>
          <w:color w:val="000000" w:themeColor="text1"/>
          <w:sz w:val="24"/>
          <w:szCs w:val="24"/>
          <w:lang w:val="en-US"/>
        </w:rPr>
        <w:t>ters.</w:t>
      </w:r>
    </w:p>
    <w:p w:rsidR="0073488D" w:rsidRPr="0091214D" w:rsidRDefault="0073488D" w:rsidP="009739B6">
      <w:pPr>
        <w:spacing w:line="480" w:lineRule="auto"/>
        <w:rPr>
          <w:rFonts w:ascii="Arial" w:hAnsi="Arial" w:cs="Arial"/>
          <w:color w:val="000000" w:themeColor="text1"/>
          <w:sz w:val="24"/>
          <w:szCs w:val="24"/>
          <w:lang w:val="en-US"/>
        </w:r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 xml:space="preserve">Flow and tidal volume (VT) were measured between the endotracheal tube and the Y piece of the ventilator circuit with a </w:t>
      </w:r>
      <w:proofErr w:type="spellStart"/>
      <w:r w:rsidRPr="0091214D">
        <w:rPr>
          <w:rFonts w:ascii="Arial" w:hAnsi="Arial" w:cs="Arial"/>
          <w:color w:val="000000" w:themeColor="text1"/>
          <w:sz w:val="24"/>
          <w:szCs w:val="24"/>
          <w:lang w:val="en-US"/>
        </w:rPr>
        <w:t>Fleisch</w:t>
      </w:r>
      <w:proofErr w:type="spellEnd"/>
      <w:r w:rsidRPr="0091214D">
        <w:rPr>
          <w:rFonts w:ascii="Arial" w:hAnsi="Arial" w:cs="Arial"/>
          <w:color w:val="000000" w:themeColor="text1"/>
          <w:sz w:val="24"/>
          <w:szCs w:val="24"/>
          <w:lang w:val="en-US"/>
        </w:rPr>
        <w:t xml:space="preserve"> n°1 </w:t>
      </w:r>
      <w:proofErr w:type="spellStart"/>
      <w:r w:rsidRPr="0091214D">
        <w:rPr>
          <w:rFonts w:ascii="Arial" w:hAnsi="Arial" w:cs="Arial"/>
          <w:color w:val="000000" w:themeColor="text1"/>
          <w:sz w:val="24"/>
          <w:szCs w:val="24"/>
          <w:lang w:val="en-US"/>
        </w:rPr>
        <w:t>pneumotachograph</w:t>
      </w:r>
      <w:proofErr w:type="spellEnd"/>
      <w:r w:rsidRPr="0091214D">
        <w:rPr>
          <w:rFonts w:ascii="Arial" w:hAnsi="Arial" w:cs="Arial"/>
          <w:color w:val="000000" w:themeColor="text1"/>
          <w:sz w:val="24"/>
          <w:szCs w:val="24"/>
          <w:lang w:val="en-US"/>
        </w:rPr>
        <w:t xml:space="preserve"> (</w:t>
      </w:r>
      <w:proofErr w:type="spellStart"/>
      <w:r w:rsidRPr="0091214D">
        <w:rPr>
          <w:rFonts w:ascii="Arial" w:hAnsi="Arial" w:cs="Arial"/>
          <w:color w:val="000000" w:themeColor="text1"/>
          <w:sz w:val="24"/>
          <w:szCs w:val="24"/>
          <w:lang w:val="en-US"/>
        </w:rPr>
        <w:t>Fleisch</w:t>
      </w:r>
      <w:proofErr w:type="spellEnd"/>
      <w:r w:rsidRPr="0091214D">
        <w:rPr>
          <w:rFonts w:ascii="Arial" w:hAnsi="Arial" w:cs="Arial"/>
          <w:color w:val="000000" w:themeColor="text1"/>
          <w:sz w:val="24"/>
          <w:szCs w:val="24"/>
          <w:lang w:val="en-US"/>
        </w:rPr>
        <w:t xml:space="preserve">, Lausanne, Switzerland). Airway pressure was measured via a pressure transducer (MP45 </w:t>
      </w:r>
      <w:proofErr w:type="spellStart"/>
      <w:r w:rsidRPr="0091214D">
        <w:rPr>
          <w:rFonts w:ascii="Arial" w:hAnsi="Arial" w:cs="Arial"/>
          <w:color w:val="000000" w:themeColor="text1"/>
          <w:sz w:val="24"/>
          <w:szCs w:val="24"/>
          <w:lang w:val="en-US"/>
        </w:rPr>
        <w:t>Validyne</w:t>
      </w:r>
      <w:proofErr w:type="spellEnd"/>
      <w:r w:rsidRPr="0091214D">
        <w:rPr>
          <w:rFonts w:ascii="Arial" w:hAnsi="Arial" w:cs="Arial"/>
          <w:color w:val="000000" w:themeColor="text1"/>
          <w:sz w:val="24"/>
          <w:szCs w:val="24"/>
          <w:lang w:val="en-US"/>
        </w:rPr>
        <w:t xml:space="preserve">, Northridge, CA) through the </w:t>
      </w:r>
      <w:proofErr w:type="spellStart"/>
      <w:r w:rsidRPr="0091214D">
        <w:rPr>
          <w:rFonts w:ascii="Arial" w:hAnsi="Arial" w:cs="Arial"/>
          <w:color w:val="000000" w:themeColor="text1"/>
          <w:sz w:val="24"/>
          <w:szCs w:val="24"/>
          <w:lang w:val="en-US"/>
        </w:rPr>
        <w:t>pneumotachograph</w:t>
      </w:r>
      <w:proofErr w:type="spellEnd"/>
      <w:r w:rsidRPr="0091214D">
        <w:rPr>
          <w:rFonts w:ascii="Arial" w:hAnsi="Arial" w:cs="Arial"/>
          <w:color w:val="000000" w:themeColor="text1"/>
          <w:sz w:val="24"/>
          <w:szCs w:val="24"/>
          <w:lang w:val="en-US"/>
        </w:rPr>
        <w:t xml:space="preserve">. Measurement of esophageal and gastric swing pressures </w:t>
      </w:r>
      <w:r w:rsidR="00075BF3" w:rsidRPr="0091214D">
        <w:rPr>
          <w:rFonts w:ascii="Arial" w:hAnsi="Arial" w:cs="Arial"/>
          <w:color w:val="000000" w:themeColor="text1"/>
          <w:sz w:val="24"/>
          <w:szCs w:val="24"/>
          <w:lang w:val="en-US"/>
        </w:rPr>
        <w:t xml:space="preserve">(Inspiratory minus expiratory pressures) </w:t>
      </w:r>
      <w:r w:rsidRPr="0091214D">
        <w:rPr>
          <w:rFonts w:ascii="Arial" w:hAnsi="Arial" w:cs="Arial"/>
          <w:color w:val="000000" w:themeColor="text1"/>
          <w:sz w:val="24"/>
          <w:szCs w:val="24"/>
          <w:lang w:val="en-US"/>
        </w:rPr>
        <w:t>were performed with a double balloon catheter (</w:t>
      </w:r>
      <w:proofErr w:type="spellStart"/>
      <w:r w:rsidRPr="0091214D">
        <w:rPr>
          <w:rFonts w:ascii="Arial" w:hAnsi="Arial" w:cs="Arial"/>
          <w:color w:val="000000" w:themeColor="text1"/>
          <w:sz w:val="24"/>
          <w:szCs w:val="24"/>
          <w:lang w:val="en-US"/>
        </w:rPr>
        <w:t>Nutrivent</w:t>
      </w:r>
      <w:proofErr w:type="spellEnd"/>
      <w:r w:rsidRPr="0091214D">
        <w:rPr>
          <w:rFonts w:ascii="Arial" w:hAnsi="Arial" w:cs="Arial"/>
          <w:color w:val="000000" w:themeColor="text1"/>
          <w:sz w:val="24"/>
          <w:szCs w:val="24"/>
          <w:lang w:val="en-US"/>
        </w:rPr>
        <w:t>®, SIDAM, Italy). This catheter was inserted through the nose after the application of topical anesthesia. Each balloon was inflated with 4 mL of air and was connected to a differential pressure transducer. Proper positioning of esophageal balloon (lower third portion of esophagus) was verified by an occlusion test previ</w:t>
      </w:r>
      <w:r w:rsidR="00404B13" w:rsidRPr="0091214D">
        <w:rPr>
          <w:rFonts w:ascii="Arial" w:hAnsi="Arial" w:cs="Arial"/>
          <w:color w:val="000000" w:themeColor="text1"/>
          <w:sz w:val="24"/>
          <w:szCs w:val="24"/>
          <w:lang w:val="en-US"/>
        </w:rPr>
        <w:t xml:space="preserve">ously described by </w:t>
      </w:r>
      <w:proofErr w:type="spellStart"/>
      <w:r w:rsidR="00404B13" w:rsidRPr="0091214D">
        <w:rPr>
          <w:rFonts w:ascii="Arial" w:hAnsi="Arial" w:cs="Arial"/>
          <w:color w:val="000000" w:themeColor="text1"/>
          <w:sz w:val="24"/>
          <w:szCs w:val="24"/>
          <w:lang w:val="en-US"/>
        </w:rPr>
        <w:t>Baydur</w:t>
      </w:r>
      <w:proofErr w:type="spellEnd"/>
      <w:r w:rsidR="00404B13" w:rsidRPr="0091214D">
        <w:rPr>
          <w:rFonts w:ascii="Arial" w:hAnsi="Arial" w:cs="Arial"/>
          <w:color w:val="000000" w:themeColor="text1"/>
          <w:sz w:val="24"/>
          <w:szCs w:val="24"/>
          <w:lang w:val="en-US"/>
        </w:rPr>
        <w:t xml:space="preserve"> et al</w:t>
      </w:r>
      <w:r w:rsidRPr="0091214D">
        <w:rPr>
          <w:rFonts w:ascii="Arial" w:hAnsi="Arial" w:cs="Arial"/>
          <w:color w:val="000000" w:themeColor="text1"/>
          <w:sz w:val="24"/>
          <w:szCs w:val="24"/>
          <w:lang w:val="en-US"/>
        </w:rPr>
        <w:t xml:space="preserve">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XWpc1mXX","properties":{"formattedCitation":"[2]","plainCitation":"[2]"},"citationItems":[{"id":287,"uris":["http://zotero.org/users/1212533/items/74X5FI2W"],"uri":["http://zotero.org/users/1212533/items/74X5FI2W"],"itemData":{"id":287,"type":"article-journal","title":"A simple method for assessing the validity of the esophageal balloon technique","container-title":"The American review of respiratory disease","page":"788-791","volume":"126","issue":"5","source":"NCBI PubMed","abstract":"The validity of the conventional esophageal balloon technique as a measure of pleural pressure was tested in 10 subjects in sitting, supine, and lateral positions by occluding the airways at end-expiration and measuring the ratio of changes in esophageal (delta Pes) and mouth pressure (delta Pm) during the ensuing spontaneous occluded inspiratory efforts. Similar measurements were also made during static Mueller maneuvers. In both tests, delta Pes/delta Pm values were close to unity in sitting and lateral positions, whereas in the supine position, substantial deviations from unity were found in some instances. However, by repositioning the balloon to different levels in the esophagus, even in these instances a locus could be found where the delta Pes/delta Pm ratio was close to unity. No appreciable phase difference between delta Pes and delta Pm was found. We conclude that by positioning the balloon according to the \"occlusion test\" procedure, valid measurements of pleural pressure can be obtained in all the tested body positions.","ISSN":"0003-0805","note":"PMID: 7149443","journalAbbreviation":"Am. Rev. Respir. Dis.","language":"eng","author":[{"family":"Baydur","given":"A"},{"family":"Behrakis","given":"P K"},{"family":"Zin","given":"W A"},{"family":"Jaeger","given":"M"},{"family":"Milic-Emili","given":"J"}],"issued":{"date-parts":[["1982",11]]},"PMID":"7149443"}}],"schema":"https://github.com/citation-style-language/schema/raw/master/csl-citation.json"}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[2]</w:t>
      </w:r>
      <w:r w:rsidR="002F0453" w:rsidRPr="0091214D">
        <w:rPr>
          <w:rFonts w:ascii="Arial" w:hAnsi="Arial" w:cs="Arial"/>
          <w:color w:val="000000" w:themeColor="text1"/>
          <w:sz w:val="24"/>
          <w:szCs w:val="24"/>
          <w:lang w:val="en-US"/>
        </w:rPr>
        <w:fldChar w:fldCharType="end"/>
      </w:r>
      <w:r w:rsidRPr="0091214D">
        <w:rPr>
          <w:rFonts w:ascii="Arial" w:hAnsi="Arial" w:cs="Arial"/>
          <w:color w:val="000000" w:themeColor="text1"/>
          <w:sz w:val="24"/>
          <w:szCs w:val="24"/>
          <w:lang w:val="en-US"/>
        </w:rPr>
        <w:t xml:space="preserve"> while proper positioning of gastric balloon was verified by application of repeated manual gastric pressure on the patient's abdomen by the physician in charge to observe fluctuations in gastric pressure. All pressure signals were recorded through pressure transducer (MP45 </w:t>
      </w:r>
      <w:proofErr w:type="spellStart"/>
      <w:r w:rsidRPr="0091214D">
        <w:rPr>
          <w:rFonts w:ascii="Arial" w:hAnsi="Arial" w:cs="Arial"/>
          <w:color w:val="000000" w:themeColor="text1"/>
          <w:sz w:val="24"/>
          <w:szCs w:val="24"/>
          <w:lang w:val="en-US"/>
        </w:rPr>
        <w:t>Validyne</w:t>
      </w:r>
      <w:proofErr w:type="spellEnd"/>
      <w:r w:rsidRPr="0091214D">
        <w:rPr>
          <w:rFonts w:ascii="Arial" w:hAnsi="Arial" w:cs="Arial"/>
          <w:color w:val="000000" w:themeColor="text1"/>
          <w:sz w:val="24"/>
          <w:szCs w:val="24"/>
          <w:lang w:val="en-US"/>
        </w:rPr>
        <w:t xml:space="preserve">, Northridge, CA) and were sampled and digitized at 200 Hz using an analog-to-digital converter system (MP35; </w:t>
      </w:r>
      <w:proofErr w:type="spellStart"/>
      <w:r w:rsidRPr="0091214D">
        <w:rPr>
          <w:rFonts w:ascii="Arial" w:hAnsi="Arial" w:cs="Arial"/>
          <w:color w:val="000000" w:themeColor="text1"/>
          <w:sz w:val="24"/>
          <w:szCs w:val="24"/>
          <w:lang w:val="en-US"/>
        </w:rPr>
        <w:t>Biopac</w:t>
      </w:r>
      <w:proofErr w:type="spellEnd"/>
      <w:r w:rsidRPr="0091214D">
        <w:rPr>
          <w:rFonts w:ascii="Arial" w:hAnsi="Arial" w:cs="Arial"/>
          <w:color w:val="000000" w:themeColor="text1"/>
          <w:sz w:val="24"/>
          <w:szCs w:val="24"/>
          <w:lang w:val="en-US"/>
        </w:rPr>
        <w:t xml:space="preserve"> Systems, Santa Barbara, CA). Changes in pleural and abdominal pressures were </w:t>
      </w:r>
      <w:r w:rsidRPr="0091214D">
        <w:rPr>
          <w:rFonts w:ascii="Arial" w:hAnsi="Arial" w:cs="Arial"/>
          <w:color w:val="000000" w:themeColor="text1"/>
          <w:sz w:val="24"/>
          <w:szCs w:val="24"/>
          <w:lang w:val="en-US"/>
        </w:rPr>
        <w:lastRenderedPageBreak/>
        <w:t>estimated respectively from variations in esophageal (</w:t>
      </w:r>
      <w:proofErr w:type="spellStart"/>
      <w:r w:rsidRPr="0091214D">
        <w:rPr>
          <w:rFonts w:ascii="Arial" w:hAnsi="Arial" w:cs="Arial"/>
          <w:color w:val="000000" w:themeColor="text1"/>
          <w:sz w:val="24"/>
          <w:szCs w:val="24"/>
          <w:lang w:val="en-US"/>
        </w:rPr>
        <w:t>Pes</w:t>
      </w:r>
      <w:proofErr w:type="spellEnd"/>
      <w:r w:rsidRPr="0091214D">
        <w:rPr>
          <w:rFonts w:ascii="Arial" w:hAnsi="Arial" w:cs="Arial"/>
          <w:color w:val="000000" w:themeColor="text1"/>
          <w:sz w:val="24"/>
          <w:szCs w:val="24"/>
          <w:lang w:val="en-US"/>
        </w:rPr>
        <w:t>) and gastric (</w:t>
      </w:r>
      <w:proofErr w:type="spellStart"/>
      <w:r w:rsidRPr="0091214D">
        <w:rPr>
          <w:rFonts w:ascii="Arial" w:hAnsi="Arial" w:cs="Arial"/>
          <w:color w:val="000000" w:themeColor="text1"/>
          <w:sz w:val="24"/>
          <w:szCs w:val="24"/>
          <w:lang w:val="en-US"/>
        </w:rPr>
        <w:t>Pga</w:t>
      </w:r>
      <w:proofErr w:type="spellEnd"/>
      <w:r w:rsidRPr="0091214D">
        <w:rPr>
          <w:rFonts w:ascii="Arial" w:hAnsi="Arial" w:cs="Arial"/>
          <w:color w:val="000000" w:themeColor="text1"/>
          <w:sz w:val="24"/>
          <w:szCs w:val="24"/>
          <w:lang w:val="en-US"/>
        </w:rPr>
        <w:t xml:space="preserve">) pressures during inspiratory and expiratory time (Swing </w:t>
      </w:r>
      <w:proofErr w:type="spellStart"/>
      <w:r w:rsidRPr="0091214D">
        <w:rPr>
          <w:rFonts w:ascii="Arial" w:hAnsi="Arial" w:cs="Arial"/>
          <w:color w:val="000000" w:themeColor="text1"/>
          <w:sz w:val="24"/>
          <w:szCs w:val="24"/>
          <w:lang w:val="en-US"/>
        </w:rPr>
        <w:t>Pes</w:t>
      </w:r>
      <w:proofErr w:type="spellEnd"/>
      <w:r w:rsidRPr="0091214D">
        <w:rPr>
          <w:rFonts w:ascii="Arial" w:hAnsi="Arial" w:cs="Arial"/>
          <w:color w:val="000000" w:themeColor="text1"/>
          <w:sz w:val="24"/>
          <w:szCs w:val="24"/>
          <w:lang w:val="en-US"/>
        </w:rPr>
        <w:t xml:space="preserve"> and Swing </w:t>
      </w:r>
      <w:proofErr w:type="spellStart"/>
      <w:r w:rsidRPr="0091214D">
        <w:rPr>
          <w:rFonts w:ascii="Arial" w:hAnsi="Arial" w:cs="Arial"/>
          <w:color w:val="000000" w:themeColor="text1"/>
          <w:sz w:val="24"/>
          <w:szCs w:val="24"/>
          <w:lang w:val="en-US"/>
        </w:rPr>
        <w:t>Pgas</w:t>
      </w:r>
      <w:proofErr w:type="spellEnd"/>
      <w:r w:rsidRPr="0091214D">
        <w:rPr>
          <w:rFonts w:ascii="Arial" w:hAnsi="Arial" w:cs="Arial"/>
          <w:color w:val="000000" w:themeColor="text1"/>
          <w:sz w:val="24"/>
          <w:szCs w:val="24"/>
          <w:lang w:val="en-US"/>
        </w:rPr>
        <w:t>, expressed in cm H</w:t>
      </w:r>
      <w:r w:rsidRPr="0091214D">
        <w:rPr>
          <w:rFonts w:ascii="Arial" w:hAnsi="Arial" w:cs="Arial"/>
          <w:color w:val="000000" w:themeColor="text1"/>
          <w:sz w:val="24"/>
          <w:szCs w:val="24"/>
          <w:vertAlign w:val="subscript"/>
          <w:lang w:val="en-US"/>
        </w:rPr>
        <w:t>2</w:t>
      </w:r>
      <w:r w:rsidRPr="0091214D">
        <w:rPr>
          <w:rFonts w:ascii="Arial" w:hAnsi="Arial" w:cs="Arial"/>
          <w:color w:val="000000" w:themeColor="text1"/>
          <w:sz w:val="24"/>
          <w:szCs w:val="24"/>
          <w:lang w:val="en-US"/>
        </w:rPr>
        <w:t xml:space="preserve">O). Trans-diaphragmatic swing (Pdi) was calculated by subtracting </w:t>
      </w:r>
      <w:proofErr w:type="spellStart"/>
      <w:r w:rsidRPr="0091214D">
        <w:rPr>
          <w:rFonts w:ascii="Arial" w:hAnsi="Arial" w:cs="Arial"/>
          <w:color w:val="000000" w:themeColor="text1"/>
          <w:sz w:val="24"/>
          <w:szCs w:val="24"/>
          <w:lang w:val="en-US"/>
        </w:rPr>
        <w:t>Pes</w:t>
      </w:r>
      <w:proofErr w:type="spellEnd"/>
      <w:r w:rsidRPr="0091214D">
        <w:rPr>
          <w:rFonts w:ascii="Arial" w:hAnsi="Arial" w:cs="Arial"/>
          <w:color w:val="000000" w:themeColor="text1"/>
          <w:sz w:val="24"/>
          <w:szCs w:val="24"/>
          <w:lang w:val="en-US"/>
        </w:rPr>
        <w:t xml:space="preserve"> from </w:t>
      </w:r>
      <w:proofErr w:type="spellStart"/>
      <w:r w:rsidRPr="0091214D">
        <w:rPr>
          <w:rFonts w:ascii="Arial" w:hAnsi="Arial" w:cs="Arial"/>
          <w:color w:val="000000" w:themeColor="text1"/>
          <w:sz w:val="24"/>
          <w:szCs w:val="24"/>
          <w:lang w:val="en-US"/>
        </w:rPr>
        <w:t>Pga</w:t>
      </w:r>
      <w:proofErr w:type="spellEnd"/>
      <w:r w:rsidRPr="0091214D">
        <w:rPr>
          <w:rFonts w:ascii="Arial" w:hAnsi="Arial" w:cs="Arial"/>
          <w:color w:val="000000" w:themeColor="text1"/>
          <w:sz w:val="24"/>
          <w:szCs w:val="24"/>
          <w:lang w:val="en-US"/>
        </w:rPr>
        <w:t>. Minute ventilation (VE), VT, inspiratory (Ti) and expiratory time (Te), total cycle duration (</w:t>
      </w:r>
      <w:proofErr w:type="spellStart"/>
      <w:r w:rsidRPr="0091214D">
        <w:rPr>
          <w:rFonts w:ascii="Arial" w:hAnsi="Arial" w:cs="Arial"/>
          <w:color w:val="000000" w:themeColor="text1"/>
          <w:sz w:val="24"/>
          <w:szCs w:val="24"/>
          <w:lang w:val="en-US"/>
        </w:rPr>
        <w:t>Ttot</w:t>
      </w:r>
      <w:proofErr w:type="spellEnd"/>
      <w:r w:rsidRPr="0091214D">
        <w:rPr>
          <w:rFonts w:ascii="Arial" w:hAnsi="Arial" w:cs="Arial"/>
          <w:color w:val="000000" w:themeColor="text1"/>
          <w:sz w:val="24"/>
          <w:szCs w:val="24"/>
          <w:lang w:val="en-US"/>
        </w:rPr>
        <w:t xml:space="preserve">), respiratory rate (RR), were calculated from the numerical integration of the flow signal. </w:t>
      </w:r>
      <w:proofErr w:type="spellStart"/>
      <w:r w:rsidRPr="0091214D">
        <w:rPr>
          <w:rFonts w:ascii="Arial" w:hAnsi="Arial" w:cs="Arial"/>
          <w:color w:val="000000" w:themeColor="text1"/>
          <w:sz w:val="24"/>
          <w:szCs w:val="24"/>
          <w:lang w:val="en-US"/>
        </w:rPr>
        <w:t>Pes</w:t>
      </w:r>
      <w:proofErr w:type="spellEnd"/>
      <w:r w:rsidRPr="0091214D">
        <w:rPr>
          <w:rFonts w:ascii="Arial" w:hAnsi="Arial" w:cs="Arial"/>
          <w:color w:val="000000" w:themeColor="text1"/>
          <w:sz w:val="24"/>
          <w:szCs w:val="24"/>
          <w:lang w:val="en-US"/>
        </w:rPr>
        <w:t xml:space="preserve"> values at zero-flow were considered as beginning and end of inspiration and we considered that any difference between initial </w:t>
      </w:r>
      <w:proofErr w:type="spellStart"/>
      <w:r w:rsidRPr="0091214D">
        <w:rPr>
          <w:rFonts w:ascii="Arial" w:hAnsi="Arial" w:cs="Arial"/>
          <w:color w:val="000000" w:themeColor="text1"/>
          <w:sz w:val="24"/>
          <w:szCs w:val="24"/>
          <w:lang w:val="en-US"/>
        </w:rPr>
        <w:t>Pes</w:t>
      </w:r>
      <w:proofErr w:type="spellEnd"/>
      <w:r w:rsidRPr="0091214D">
        <w:rPr>
          <w:rFonts w:ascii="Arial" w:hAnsi="Arial" w:cs="Arial"/>
          <w:color w:val="000000" w:themeColor="text1"/>
          <w:sz w:val="24"/>
          <w:szCs w:val="24"/>
          <w:lang w:val="en-US"/>
        </w:rPr>
        <w:t xml:space="preserve"> and the zero-flow point indicates intrinsic PEEP</w:t>
      </w:r>
      <w:r w:rsidR="00104028" w:rsidRPr="0091214D">
        <w:rPr>
          <w:rFonts w:ascii="Arial" w:hAnsi="Arial" w:cs="Arial"/>
          <w:color w:val="000000" w:themeColor="text1"/>
          <w:sz w:val="24"/>
          <w:szCs w:val="24"/>
          <w:lang w:val="en-US"/>
        </w:rPr>
        <w:t>.</w:t>
      </w:r>
      <w:r w:rsidR="00A46F9F" w:rsidRPr="0091214D">
        <w:rPr>
          <w:rFonts w:ascii="Arial" w:hAnsi="Arial" w:cs="Arial"/>
          <w:color w:val="000000" w:themeColor="text1"/>
          <w:sz w:val="24"/>
          <w:szCs w:val="24"/>
          <w:lang w:val="en-US"/>
        </w:rPr>
        <w:t xml:space="preserve">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OQI4Xfdb","properties":{"formattedCitation":"[3]","plainCitation":"[3]"},"citationItems":[{"id":925,"uris":["http://zotero.org/users/1212533/items/I8RTNJE9"],"uri":["http://zotero.org/users/1212533/items/I8RTNJE9"],"itemData":{"id":925,"type":"article-journal","title":"Airway occlusion pressure to titrate positive end-expiratory pressure in patients with dynamic hyperinflation","container-title":"Anesthesiology","page":"81-90","volume":"93","issue":"1","source":"NCBI PubMed","abstract":"BACKGROUND: Although the use of external positive end-expiratory pressure (PEEP) is recommended for patients with intrinsic PEEP, no simple method exists for bedside titration. We hypothesized that the occlusion pressure, measured from airway pressure during the phase of ventilator triggering (P0.1t), could help to indicate the effects of PEEP on the work of breathing (WOB).\nMETHODS: Twenty patients under assisted ventilation with chronic obstructive pulmonary disease were studied with 0, 5, and 10 cm H2O of PEEP while ventilated with a fixed level of pressure support.\nRESULTS: PEEP 5 significantly reduced intrinsic PEEP (mean +/- SD, 5.2 +/- 2.4 cm H2O at PEEP 0 to 3.6 +/- 1.9 at PEEP 5; P &lt; 0.001), WOB per min (12. 6 +/- 6.7 J/min to 9.1 +/- 5.9 J/min; P = 0.003), WOB per liter (1.2 +/- 0.4 J/l to 0.8 +/- 0.4 J/l; P &lt; 0.001), pressure time product of the diaphragm (216 +/- 86 cm H2O. s-1. min-1 to 155 +/- 179 cm H2O. s-1. min-1; P = 0.001) and P0.1t (3.3 +/- 1.5 cm H2O to 2.3 +/- 1.4 cm H2O; P = 0.002). At PEEP 10, no further significant reduction in muscle effort nor in P0.1t (2.5 +/- 2.1 cm H2O) occurred, and transpulmonary pressure indicated an increase in end-expiratory lung volume. Significant correlations were found between WOB per min and P0.1t at the three levels of PEEP (P &lt; 0.001), and between the changes in P0.1t versus the changes in WOB per min (P &lt; 0.005), indicating that P0.1t and WOB changed in the same direction. A decrease in P0.1 with PEEP indicated a decrease in intrinsic PEEP with a specificity of 71% and a sensitivity of 88% and a decrease in WOB with a specificity of 86% and a sensitivity of 91%.\nCONCLUSION: These results show that P0.1t may help to assess the effects of PEEP in patients with intrinsic PEEP.","ISSN":"0003-3022","note":"PMID: 10861149","journalAbbreviation":"Anesthesiology","language":"eng","author":[{"family":"Mancebo","given":"J."},{"family":"Albaladejo","given":"P."},{"family":"Touchard","given":"D."},{"family":"Bak","given":"E."},{"family":"Subirana","given":"M."},{"family":"Lemaire","given":"F."},{"family":"Harf","given":"A."},{"family":"Brochard","given":"L."}],"issued":{"date-parts":[["2000",7]]},"PMID":"10861149"}}],"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[3]</w:t>
      </w:r>
      <w:r w:rsidR="002F0453" w:rsidRPr="0091214D">
        <w:rPr>
          <w:rFonts w:ascii="Arial" w:hAnsi="Arial" w:cs="Arial"/>
          <w:color w:val="000000" w:themeColor="text1"/>
          <w:sz w:val="24"/>
          <w:szCs w:val="24"/>
          <w:lang w:val="en-US"/>
        </w:rPr>
        <w:fldChar w:fldCharType="end"/>
      </w:r>
      <w:r w:rsidR="0079721C" w:rsidRPr="0091214D">
        <w:rPr>
          <w:rFonts w:ascii="Arial" w:hAnsi="Arial" w:cs="Arial"/>
          <w:color w:val="000000" w:themeColor="text1"/>
          <w:sz w:val="24"/>
          <w:szCs w:val="24"/>
          <w:lang w:val="en-US"/>
        </w:rPr>
        <w:t xml:space="preserve"> The intrinsic PEEP was corrected for expiratory muscle activity, as detected on </w:t>
      </w:r>
      <w:proofErr w:type="spellStart"/>
      <w:r w:rsidR="0079721C" w:rsidRPr="0091214D">
        <w:rPr>
          <w:rFonts w:ascii="Arial" w:hAnsi="Arial" w:cs="Arial"/>
          <w:color w:val="000000" w:themeColor="text1"/>
          <w:sz w:val="24"/>
          <w:szCs w:val="24"/>
          <w:lang w:val="en-US"/>
        </w:rPr>
        <w:t>Pga</w:t>
      </w:r>
      <w:proofErr w:type="spellEnd"/>
      <w:r w:rsidR="0079721C" w:rsidRPr="0091214D">
        <w:rPr>
          <w:rFonts w:ascii="Arial" w:hAnsi="Arial" w:cs="Arial"/>
          <w:color w:val="000000" w:themeColor="text1"/>
          <w:sz w:val="24"/>
          <w:szCs w:val="24"/>
          <w:lang w:val="en-US"/>
        </w:rPr>
        <w:t xml:space="preserve"> tracings</w:t>
      </w:r>
      <w:r w:rsidR="00104028" w:rsidRPr="0091214D">
        <w:rPr>
          <w:rFonts w:ascii="Arial" w:hAnsi="Arial" w:cs="Arial"/>
          <w:color w:val="000000" w:themeColor="text1"/>
          <w:sz w:val="24"/>
          <w:szCs w:val="24"/>
          <w:lang w:val="en-US"/>
        </w:rPr>
        <w:t xml:space="preserve">.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ixWivldt","properties":{"formattedCitation":"[4]","plainCitation":"[4]"},"citationItems":[{"id":204,"uris":["http://zotero.org/users/1212533/items/5PGREQPV"],"uri":["http://zotero.org/users/1212533/items/5PGREQPV"],"itemData":{"id":204,"type":"article-journal","title":"Expiratory muscle activity increases intrinsic positive end-expiratory pressure independently of dynamic hyperinflation in mechanically ventilated patients","container-title":"American Journal of Respiratory and Critical Care Medicine","page":"562-569","volume":"151","issue":"2 Pt 1","source":"NCBI PubMed","abstract":"Intrinsic positive end-expiratory pressure (PEEPi) has usually been interpreted as suggesting dynamic hyperinflation, but expiratory muscle activity may also increase end-expiratory alveolar pressure without any additional increase in end-expiratory lung volume. The aim of this study was to assess the influence of expiratory muscle activity, which increases abdominal pressure during expiration and is followed by a sudden drop at end-expiration, on PEEPi measurement in mechanically ventilated patients. We studied eight tracheally intubated patients breathing in an assisted mode in whom expiratory muscle activity was present. PEEPi was measured from the fluctuations of esophageal pressure (Pes) while continuous recording of gastric pressure (Pga) and of changes in abdominal cross-sectional area assessed expiratory muscle activity. PEEPi was also measured by the airway occlusion method in one patient, and diaphragmatic electromyographic activity was recorded to determine the timing of inspiratory muscle activity in two patients. Varying the level of ventilatory support (pressure support level, peak flow rate, or PEEP level) induced increases in measured PEEPi from 6.7 +/- 3.4 to 13.2 +/- 5.9 cm H2O. Concomitantly, the expiratory rise in Pga increased from 3.1 +/- 2.7 to 8.6 +/- 5.0 cm H2O, and the abrupt decay in Pga observed at the end of expiration increased from 4.2 +/- 3.7 to 10.6 +/- 6.1 cm H2O. The drop in Pga and the drop in Pes at end-expiration were synchronous, and these changes, together with electromyographic measurements, were consistent with a concomitant relaxation of the expiratory muscles and activation of the inspiratory muscles.(ABSTRACT TRUNCATED AT 250 WORDS)","DOI":"10.1164/ajrccm.151.2.7842221","ISSN":"1073-449X","note":"PMID: 7842221","journalAbbreviation":"Am. J. Respir. Crit. Care Med.","language":"eng","author":[{"family":"Lessard","given":"M. R."},{"family":"Lofaso","given":"F."},{"family":"Brochard","given":"L."}],"issued":{"date-parts":[["1995",2]]},"PMID":"7842221"}}],"schema":"https://github.com/citation-style-language/schema/raw/master/csl-citation.json"}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[4]</w:t>
      </w:r>
      <w:r w:rsidR="002F0453" w:rsidRPr="0091214D">
        <w:rPr>
          <w:rFonts w:ascii="Arial" w:hAnsi="Arial" w:cs="Arial"/>
          <w:color w:val="000000" w:themeColor="text1"/>
          <w:sz w:val="24"/>
          <w:szCs w:val="24"/>
          <w:lang w:val="en-US"/>
        </w:rPr>
        <w:fldChar w:fldCharType="end"/>
      </w:r>
      <w:r w:rsidR="00104028" w:rsidRPr="0091214D">
        <w:rPr>
          <w:rFonts w:ascii="Arial" w:hAnsi="Arial" w:cs="Arial"/>
          <w:color w:val="000000" w:themeColor="text1"/>
          <w:sz w:val="24"/>
          <w:szCs w:val="24"/>
          <w:lang w:val="en-US"/>
        </w:rPr>
        <w:t xml:space="preserve"> </w:t>
      </w:r>
      <w:r w:rsidR="00946FDA" w:rsidRPr="0091214D">
        <w:rPr>
          <w:rFonts w:ascii="Arial" w:hAnsi="Arial" w:cs="Arial"/>
          <w:color w:val="000000" w:themeColor="text1"/>
          <w:sz w:val="24"/>
          <w:szCs w:val="24"/>
          <w:lang w:val="en-US"/>
        </w:rPr>
        <w:t>Expired tidal volume was used for data analysis. We measured the ratio of expired to inspired tidal volume and applied a correction factor equal to this ratio to the flow signal as previously described.</w:t>
      </w:r>
      <w:r w:rsidR="00104028" w:rsidRPr="0091214D">
        <w:rPr>
          <w:rFonts w:ascii="Arial" w:hAnsi="Arial" w:cs="Arial"/>
          <w:color w:val="000000" w:themeColor="text1"/>
          <w:sz w:val="24"/>
          <w:szCs w:val="24"/>
          <w:lang w:val="en-US"/>
        </w:rPr>
        <w:t xml:space="preserve">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pF8Q8Nd1","properties":{"formattedCitation":"[5]","plainCitation":"[5]"},"citationItems":[{"id":1390,"uris":["http://zotero.org/users/1212533/items/TJHKVQ9P"],"uri":["http://zotero.org/users/1212533/items/TJHKVQ9P"],"itemData":{"id":1390,"type":"article-journal","title":"Physiological response to pressure support ventilation delivered before and after extubation in patients not capable of totally spontaneous autonomous breathing","container-title":"American Journal of Respiratory and Critical Care Medicine","page":"638-641","volume":"164","issue":"4","source":"NCBI PubMed","abstract":"We designed a prospective, physiological study in 12 patients affected by chronic respiratory disorders. The study was aimed at assessing the diaphragm energy expenditure (PTPdi), lung resistance (RL) and elastance (EL), arterial blood gases (ABG), breathing pattern, and dyspnea measured by a visual analog scale during invasive pressure support ventilation (i-PSV) and noninvasive PSV (n-PSV). The ventilator settings were kept the same. Both i-PSV and n-PSV significantly reduced the PTPdi per minute, compared with that during a T-piece trial (204.4 +/- 93.8 cm H(2)O x s/min [i-PSV]; 197.5 +/- 119.8 [n-PSV]; 393.8 +/- 129.0 [T-piece]). Expired tidal volume (VTe) was significantly higher (p &lt; 0.05) during n-PSV (615 +/- 166 ml) than during i-PSV (519 +/- 140 ml). The respiratory pump (PTPdi/VTe) was more effective (p &lt; 0.05) with noninvasive ventilation (22.3 +/- 2.3 cm H(2)O x s/L for i-PSV versus 17.2 +/- 3.3 for n-PSV). RL and EL were similar with the two modes of ventilation. Overall dyspnea was significantly (p &lt; 0.05) better during n-PSV than i-PSV, whereas ABG were similar. We have shown, in patients affected by stable chronic respiratory disorders not ready to sustain totally spontaneous breathing, that i-PSV and n-PSV are equally effective in reducing the PTPdi and in improving ABG, but that n-PSV seems to be better tolerated.","DOI":"10.1164/ajrccm.164.4.2010046","ISSN":"1073-449X","note":"PMID: 11520729","journalAbbreviation":"Am. J. Respir. Crit. Care Med.","language":"eng","author":[{"family":"Vitacca","given":"M."},{"family":"Ambrosino","given":"N."},{"family":"Clini","given":"E."},{"family":"Porta","given":"R."},{"family":"Rampulla","given":"C."},{"family":"Lanini","given":"B."},{"family":"Nava","given":"S."}],"issued":{"date-parts":[["2001",8,15]]},"PMID":"11520729"}}],"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[5]</w:t>
      </w:r>
      <w:r w:rsidR="002F0453" w:rsidRPr="0091214D">
        <w:rPr>
          <w:rFonts w:ascii="Arial" w:hAnsi="Arial" w:cs="Arial"/>
          <w:color w:val="000000" w:themeColor="text1"/>
          <w:sz w:val="24"/>
          <w:szCs w:val="24"/>
          <w:lang w:val="en-US"/>
        </w:rPr>
        <w:fldChar w:fldCharType="end"/>
      </w:r>
    </w:p>
    <w:p w:rsidR="00946FDA" w:rsidRPr="0091214D" w:rsidRDefault="00946FDA" w:rsidP="009739B6">
      <w:pPr>
        <w:spacing w:line="480" w:lineRule="auto"/>
        <w:rPr>
          <w:rFonts w:ascii="Arial" w:hAnsi="Arial" w:cs="Arial"/>
          <w:color w:val="000000" w:themeColor="text1"/>
          <w:sz w:val="24"/>
          <w:szCs w:val="24"/>
          <w:lang w:val="en-US"/>
        </w:r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Inspiratory effort</w:t>
      </w: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 xml:space="preserve">The inspiratory work of breathing per breath performed by the patient was calculated from a Campbell diagram by integrating the area between the inspiratory esophageal pressure, the inspiratory VT curve and the static </w:t>
      </w:r>
      <w:proofErr w:type="spellStart"/>
      <w:r w:rsidRPr="0091214D">
        <w:rPr>
          <w:rFonts w:ascii="Arial" w:hAnsi="Arial" w:cs="Arial"/>
          <w:color w:val="000000" w:themeColor="text1"/>
          <w:sz w:val="24"/>
          <w:szCs w:val="24"/>
          <w:lang w:val="en-US"/>
        </w:rPr>
        <w:t>Pes</w:t>
      </w:r>
      <w:proofErr w:type="spellEnd"/>
      <w:r w:rsidRPr="0091214D">
        <w:rPr>
          <w:rFonts w:ascii="Arial" w:hAnsi="Arial" w:cs="Arial"/>
          <w:color w:val="000000" w:themeColor="text1"/>
          <w:sz w:val="24"/>
          <w:szCs w:val="24"/>
          <w:lang w:val="en-US"/>
        </w:rPr>
        <w:t xml:space="preserve">-volume curve of the chest wall, using a theoretical value for the chest wall compliance (4% of the predicted value for the vital capacity per cm of water).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YvQI60Zy","properties":{"formattedCitation":"[6]","plainCitation":"[6]"},"citationItems":[{"id":1261,"uris":["http://zotero.org/users/1212533/items/QSVX3CQB"],"uri":["http://zotero.org/users/1212533/items/QSVX3CQB"],"itemData":{"id":1261,"type":"article-journal","title":"Adaptive support and pressure support ventilation behavior in response to increased ventilatory demand","container-title":"Anesthesiology","page":"620-627","volume":"110","issue":"3","source":"NCBI PubMed","abstract":"BACKGROUND\n\nDual-control modes of ventilation adapt the pressure delivery to keep a volume target in response to changes in respiratory mechanics, but they may respond poorly to changes in ventilatory demand. Adaptive support ventilation (ASV), a complex minute volume-targeted pressure-regulated ventilation, was compared to adaptive pressure ventilation (APV), a dual-mode in which the pressure level is adjusted to deliver a preset tidal volume, and to pressure support ventilation (PSV) when facing an increase in ventilatory demand.\n\n\nMETHODS\n\nA total of 14 intensive care unit patients being weaned off mechanical ventilation were included in this randomized crossover study. The effect of adding a heat-and-moisture exchanger to augment circuit dead space was assessed with a same fixed level of ASV, PSV, and APV.\n\n\nRESULTS\n\nArterial blood gases, ventilator response, and patient respiratory effort parameters were evaluated at the end of the six periods. Adding dead space significantly increased minute ventilation and PaCO2 values with the three modes. Indexes of respiratory effort (pressure-time index of respiratory muscles and work of breathing) increased with all ventilatory modes after dead-space augmentation. This increase was significantly greater with APV than with PSV or ASV (P &lt; 0.05). The assistance delivered during APV decreased significantly with dead-space from 12.7 +/- 2.6 to 6.7 +/- 1.4 cm H2O, whereas no change occurred with ASV and PSV.\n\n\nCONCLUSIONS\n\nASV and PSV behaved differently but ended up with similar pressure level facing acute changes in ventilatory demand, by contrast to APV (a simple volume-guaranteed pressure-control mode), in which an increase in ventilatory demand results in a decrease in the pressure support provided by the ventilator.","DOI":"10.1097/ALN.0b013e31819793fb","ISSN":"1528-1175","note":"PMID: 19225395","journalAbbreviation":"Anesthesiology","author":[{"family":"Jaber","given":"Samir"},{"family":"Sebbane","given":"Mustapha"},{"family":"Verzilli","given":"Daniel"},{"family":"Matecki","given":"Stefan"},{"family":"Wysocki","given":"Marc"},{"family":"Eledjam","given":"Jean-Jacques"},{"family":"Brochard","given":"Laurent"}],"issued":{"date-parts":[["2009",3]]},"PMID":"19225395"}}],"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[6]</w:t>
      </w:r>
      <w:r w:rsidR="002F0453" w:rsidRPr="0091214D">
        <w:rPr>
          <w:rFonts w:ascii="Arial" w:hAnsi="Arial" w:cs="Arial"/>
          <w:color w:val="000000" w:themeColor="text1"/>
          <w:sz w:val="24"/>
          <w:szCs w:val="24"/>
          <w:lang w:val="en-US"/>
        </w:rPr>
        <w:fldChar w:fldCharType="end"/>
      </w:r>
      <w:r w:rsidR="00104028" w:rsidRPr="0091214D">
        <w:rPr>
          <w:rFonts w:ascii="Arial" w:hAnsi="Arial" w:cs="Arial"/>
          <w:color w:val="000000" w:themeColor="text1"/>
          <w:sz w:val="24"/>
          <w:szCs w:val="24"/>
          <w:lang w:val="en-US"/>
        </w:rPr>
        <w:t xml:space="preserve"> </w:t>
      </w:r>
      <w:r w:rsidR="00721433" w:rsidRPr="0091214D">
        <w:rPr>
          <w:rFonts w:ascii="Arial" w:hAnsi="Arial" w:cs="Arial"/>
          <w:color w:val="000000" w:themeColor="text1"/>
          <w:sz w:val="24"/>
          <w:szCs w:val="24"/>
          <w:lang w:val="en-US"/>
        </w:rPr>
        <w:t xml:space="preserve">Although the use of this theoretical value may result in some error, this was expected to be identical for all periods and not affecting the validity of comparisons. </w:t>
      </w:r>
      <w:r w:rsidR="00920DA1" w:rsidRPr="0091214D">
        <w:rPr>
          <w:rFonts w:ascii="Arial" w:hAnsi="Arial" w:cs="Arial"/>
          <w:color w:val="000000" w:themeColor="text1"/>
          <w:sz w:val="24"/>
          <w:szCs w:val="24"/>
          <w:lang w:val="en-US"/>
        </w:rPr>
        <w:t xml:space="preserve">Ten to fifteen </w:t>
      </w:r>
      <w:r w:rsidR="00721433" w:rsidRPr="0091214D">
        <w:rPr>
          <w:rFonts w:ascii="Arial" w:hAnsi="Arial" w:cs="Arial"/>
          <w:color w:val="000000" w:themeColor="text1"/>
          <w:sz w:val="24"/>
          <w:szCs w:val="24"/>
          <w:lang w:val="en-US"/>
        </w:rPr>
        <w:t>consecutives constant breathing cycles minimum (</w:t>
      </w:r>
      <w:proofErr w:type="spellStart"/>
      <w:r w:rsidR="00721433" w:rsidRPr="0091214D">
        <w:rPr>
          <w:rFonts w:ascii="Arial" w:hAnsi="Arial" w:cs="Arial"/>
          <w:color w:val="000000" w:themeColor="text1"/>
          <w:sz w:val="24"/>
          <w:szCs w:val="24"/>
          <w:lang w:val="en-US"/>
        </w:rPr>
        <w:t>e.g</w:t>
      </w:r>
      <w:proofErr w:type="spellEnd"/>
      <w:r w:rsidR="00721433" w:rsidRPr="0091214D">
        <w:rPr>
          <w:rFonts w:ascii="Arial" w:hAnsi="Arial" w:cs="Arial"/>
          <w:color w:val="000000" w:themeColor="text1"/>
          <w:sz w:val="24"/>
          <w:szCs w:val="24"/>
          <w:lang w:val="en-US"/>
        </w:rPr>
        <w:t xml:space="preserve"> "no caught, no shallow breathing, no maximal inspiratory effort, no esophageal spasm, no artifacts) were recorded during the 3 last minutes of each SBT. </w:t>
      </w:r>
      <w:r w:rsidRPr="0091214D">
        <w:rPr>
          <w:rFonts w:ascii="Arial" w:hAnsi="Arial" w:cs="Arial"/>
          <w:color w:val="000000" w:themeColor="text1"/>
          <w:sz w:val="24"/>
          <w:szCs w:val="24"/>
          <w:lang w:val="en-US"/>
        </w:rPr>
        <w:t xml:space="preserve">Even if the use of this theoretical value may result in approximation, this was </w:t>
      </w:r>
      <w:r w:rsidRPr="0091214D">
        <w:rPr>
          <w:rFonts w:ascii="Arial" w:hAnsi="Arial" w:cs="Arial"/>
          <w:color w:val="000000" w:themeColor="text1"/>
          <w:sz w:val="24"/>
          <w:szCs w:val="24"/>
          <w:lang w:val="en-US"/>
        </w:rPr>
        <w:lastRenderedPageBreak/>
        <w:t>expected to be identical for all periods and not to affect the validity of comparisons, as previously described</w:t>
      </w:r>
      <w:r w:rsidR="005B6C54" w:rsidRPr="0091214D">
        <w:rPr>
          <w:rFonts w:ascii="Arial" w:hAnsi="Arial" w:cs="Arial"/>
          <w:color w:val="000000" w:themeColor="text1"/>
          <w:sz w:val="24"/>
          <w:szCs w:val="24"/>
          <w:lang w:val="en-US"/>
        </w:rPr>
        <w:t>.</w:t>
      </w:r>
      <w:r w:rsidRPr="0091214D">
        <w:rPr>
          <w:rFonts w:ascii="Arial" w:hAnsi="Arial" w:cs="Arial"/>
          <w:color w:val="000000" w:themeColor="text1"/>
          <w:sz w:val="24"/>
          <w:szCs w:val="24"/>
          <w:lang w:val="en-US"/>
        </w:rPr>
        <w:t xml:space="preserve">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1e8c6gnijr","properties":{"formattedCitation":"[6,7]","plainCitation":"[6,7]"},"citationItems":[{"id":1261,"uris":["http://zotero.org/users/1212533/items/QSVX3CQB"],"uri":["http://zotero.org/users/1212533/items/QSVX3CQB"],"itemData":{"id":1261,"type":"article-journal","title":"Adaptive support and pressure support ventilation behavior in response to increased ventilatory demand","container-title":"Anesthesiology","page":"620-627","volume":"110","issue":"3","source":"NCBI PubMed","abstract":"BACKGROUND\n\nDual-control modes of ventilation adapt the pressure delivery to keep a volume target in response to changes in respiratory mechanics, but they may respond poorly to changes in ventilatory demand. Adaptive support ventilation (ASV), a complex minute volume-targeted pressure-regulated ventilation, was compared to adaptive pressure ventilation (APV), a dual-mode in which the pressure level is adjusted to deliver a preset tidal volume, and to pressure support ventilation (PSV) when facing an increase in ventilatory demand.\n\n\nMETHODS\n\nA total of 14 intensive care unit patients being weaned off mechanical ventilation were included in this randomized crossover study. The effect of adding a heat-and-moisture exchanger to augment circuit dead space was assessed with a same fixed level of ASV, PSV, and APV.\n\n\nRESULTS\n\nArterial blood gases, ventilator response, and patient respiratory effort parameters were evaluated at the end of the six periods. Adding dead space significantly increased minute ventilation and PaCO2 values with the three modes. Indexes of respiratory effort (pressure-time index of respiratory muscles and work of breathing) increased with all ventilatory modes after dead-space augmentation. This increase was significantly greater with APV than with PSV or ASV (P &lt; 0.05). The assistance delivered during APV decreased significantly with dead-space from 12.7 +/- 2.6 to 6.7 +/- 1.4 cm H2O, whereas no change occurred with ASV and PSV.\n\n\nCONCLUSIONS\n\nASV and PSV behaved differently but ended up with similar pressure level facing acute changes in ventilatory demand, by contrast to APV (a simple volume-guaranteed pressure-control mode), in which an increase in ventilatory demand results in a decrease in the pressure support provided by the ventilator.","DOI":"10.1097/ALN.0b013e31819793fb","ISSN":"1528-1175","note":"PMID: 19225395","journalAbbreviation":"Anesthesiology","author":[{"family":"Jaber","given":"Samir"},{"family":"Sebbane","given":"Mustapha"},{"family":"Verzilli","given":"Daniel"},{"family":"Matecki","given":"Stefan"},{"family":"Wysocki","given":"Marc"},{"family":"Eledjam","given":"Jean-Jacques"},{"family":"Brochard","given":"Laurent"}],"issued":{"date-parts":[["2009",3]]},"PMID":"19225395"},"label":"page"},{"id":981,"uris":["http://zotero.org/users/1212533/items/JI8M9GGQ"],"uri":["http://zotero.org/users/1212533/items/JI8M9GGQ"],"itemData":{"id":981,"type":"article-journal","title":"Inspiratory pressure support compensates for the additional work of breathing caused by the endotracheal tube","container-title":"Anesthesiology","page":"739-745","volume":"75","issue":"5","source":"NCBI PubMed","abstract":"Breathing through an endotracheal tube and a demand valve may increase the work performed by the respiratory muscles. Inspiratory pressure support (PS) is known to reduce this work and might therefore compensate for this increased requirement. To test this hypothesis, we measured the work of breathing (WOB) in 11 patients whose tracheas were intubated. Five had no intrinsic lung disease, but six had chronic obstructive lung disease. We compared WOB measurements taken under several sets of conditions: during assisted breathing at four levels of PS, during unassisted breathing and connection to a T-piece, and after extubation of the trachea. During unassisted breathing via the ventilator circuit (PS set at 0 cmH20), the WOB per minute was greater than that after extubation, with a mean increase (+/- standard deviation) of 68 +/- 38% (10.3 +/- 5.1 vs. 6.5 +/- 3.7 J.min-1, P less than 0.01). While breathing through the T-piece, the WOB was 27 +/- 18% greater than after tracheal extubation (8.2 +/- 5.1 vs. 6.5 +/- 3.7 J.min-1, P less than 0.05). The principal reason why inspiratory work decreased after extubation was that the ventilatory requirement decreased. For each patient, we determined retrospectively, after extubation, the level of PS that had reduced WOB to its postextubation value and obtained levels ranging from 3.4 to 14.4 cmH2O. The PS level at which additional WOB was compensated for, was greater in patients with chronic lung disease than in those free of lung disease (12.0 +/- 1.9 vs. 5.7 +/- 1.5 cm H2O, P less than 0.05).(ABSTRACT TRUNCATED AT 250 WORDS)","ISSN":"0003-3022","note":"PMID: 1952198","journalAbbreviation":"Anesthesiology","language":"eng","author":[{"family":"Brochard","given":"L"},{"family":"Rua","given":"F"},{"family":"Lorino","given":"H"},{"family":"Lemaire","given":"F"},{"family":"Harf","given":"A"}],"issued":{"date-parts":[["1991",11]]},"PMID":"1952198"},"label":"page"}],"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[6,7]</w:t>
      </w:r>
      <w:r w:rsidR="002F0453" w:rsidRPr="0091214D">
        <w:rPr>
          <w:rFonts w:ascii="Arial" w:hAnsi="Arial" w:cs="Arial"/>
          <w:color w:val="000000" w:themeColor="text1"/>
          <w:sz w:val="24"/>
          <w:szCs w:val="24"/>
          <w:lang w:val="en-US"/>
        </w:rPr>
        <w:fldChar w:fldCharType="end"/>
      </w:r>
      <w:r w:rsidRPr="0091214D">
        <w:rPr>
          <w:rFonts w:ascii="Arial" w:hAnsi="Arial" w:cs="Arial"/>
          <w:color w:val="000000" w:themeColor="text1"/>
          <w:sz w:val="24"/>
          <w:szCs w:val="24"/>
          <w:lang w:val="en-US"/>
        </w:rPr>
        <w:t xml:space="preserve"> Inspiratory WOB was expressed as the work per volume unit (joules per liter) or as the work per time unit (joules per minute). Esophageal and trans-diaphragmatic pressure-time products (</w:t>
      </w:r>
      <w:proofErr w:type="spellStart"/>
      <w:r w:rsidRPr="0091214D">
        <w:rPr>
          <w:rFonts w:ascii="Arial" w:hAnsi="Arial" w:cs="Arial"/>
          <w:color w:val="000000" w:themeColor="text1"/>
          <w:sz w:val="24"/>
          <w:szCs w:val="24"/>
          <w:lang w:val="en-US"/>
        </w:rPr>
        <w:t>PTPes</w:t>
      </w:r>
      <w:proofErr w:type="spellEnd"/>
      <w:r w:rsidRPr="0091214D">
        <w:rPr>
          <w:rFonts w:ascii="Arial" w:hAnsi="Arial" w:cs="Arial"/>
          <w:color w:val="000000" w:themeColor="text1"/>
          <w:sz w:val="24"/>
          <w:szCs w:val="24"/>
          <w:lang w:val="en-US"/>
        </w:rPr>
        <w:t xml:space="preserve"> and </w:t>
      </w:r>
      <w:proofErr w:type="spellStart"/>
      <w:r w:rsidRPr="0091214D">
        <w:rPr>
          <w:rFonts w:ascii="Arial" w:hAnsi="Arial" w:cs="Arial"/>
          <w:color w:val="000000" w:themeColor="text1"/>
          <w:sz w:val="24"/>
          <w:szCs w:val="24"/>
          <w:lang w:val="en-US"/>
        </w:rPr>
        <w:t>PTPdi</w:t>
      </w:r>
      <w:proofErr w:type="spellEnd"/>
      <w:r w:rsidRPr="0091214D">
        <w:rPr>
          <w:rFonts w:ascii="Arial" w:hAnsi="Arial" w:cs="Arial"/>
          <w:color w:val="000000" w:themeColor="text1"/>
          <w:sz w:val="24"/>
          <w:szCs w:val="24"/>
          <w:lang w:val="en-US"/>
        </w:rPr>
        <w:t>) were also measured as reported elsewhere</w:t>
      </w:r>
      <w:r w:rsidR="005B6C54" w:rsidRPr="0091214D">
        <w:rPr>
          <w:rFonts w:ascii="Arial" w:hAnsi="Arial" w:cs="Arial"/>
          <w:color w:val="000000" w:themeColor="text1"/>
          <w:sz w:val="24"/>
          <w:szCs w:val="24"/>
          <w:lang w:val="en-US"/>
        </w:rPr>
        <w:t xml:space="preserve">. </w:t>
      </w:r>
      <w:r w:rsidR="002F0453" w:rsidRPr="0091214D">
        <w:rPr>
          <w:rFonts w:ascii="Arial" w:hAnsi="Arial" w:cs="Arial"/>
          <w:color w:val="000000" w:themeColor="text1"/>
          <w:sz w:val="24"/>
          <w:szCs w:val="24"/>
          <w:lang w:val="en-US"/>
        </w:rPr>
        <w:fldChar w:fldCharType="begin"/>
      </w:r>
      <w:r w:rsidR="00592667">
        <w:rPr>
          <w:rFonts w:ascii="Arial" w:hAnsi="Arial" w:cs="Arial"/>
          <w:color w:val="000000" w:themeColor="text1"/>
          <w:sz w:val="24"/>
          <w:szCs w:val="24"/>
          <w:lang w:val="en-US"/>
        </w:rPr>
        <w:instrText xml:space="preserve"> ADDIN ZOTERO_ITEM CSL_CITATION {"citationID":"11mmjtqqna","properties":{"formattedCitation":"[8,9]","plainCitation":"[8,9]"},"citationItems":[{"id":235,"uris":["http://zotero.org/users/1212533/items/66X8H8HF"],"uri":["http://zotero.org/users/1212533/items/66X8H8HF"],"itemData":{"id":235,"type":"article-journal","title":"Pressure-time product during continuous positive airway pressure, pressure support ventilation, and T-piece during weaning from mechanical ventilation","container-title":"The American review of respiratory disease","page":"469-475","volume":"143","issue":"3","source":"NCBI PubMed","abstract":"The objective of this study was to compare the effects of continuous positive airway pressure (CPAP), pressure support ventilation (PS), and T-piece on the pressure-time product (PTP) during weaning from mechanical ventilation. The PTP is an estimate of the metabolic work or oxygen consumption of the respiratory muscles. We studied 10 intubated patients recovering from acute respiratory failure of various etiologies. A modified continuous flow (flow-by) CPAP of 0 and 5 cm H2O (CPAP-0 and CPAP-5, respectively), PS of 5 cm H2O (PS-5), and T-piece were applied in random order for 30 min each. In the last 5 min of the 30-min periods, we measured the esophageal pressure and transdiaphragmatic pressure-time products--PTP(es) and PTP(di), cm H2O.s/min, respectively-multiplied by respiratory frequency. Breathing pattern, total lung resistance (RL), quasi-static lung compliance (CL), intrinsic positive end-expiratory pressure (PEEPi), end-expiratory transpulmonary pressure (Ptpexp), arterial blood gases, blood pressure, and heart rate were also measured. In comparison to T-piece, CPAP-5 decreased PTP(es) 40% (p less than 0.01) and PTP(di) 43% (p less than 0.02), whereas PS-5 decreased PTP(es) 34% (p less than 0.01) and PTP(di) 38% (p less than 0.05). The decrease in PTP(es) with CPAP-5 was associated with a significant reduction in RL, and to a less extent in PEEPi relative to airway pressure. The contribution of the decrease in PEEPi to the reduction in PTP(es) amounted to 36%. With PS-5, respiratory system mechanics and PEEPi were not significantly different compared with T-piece. With CPAP-0, PTP tended to be lower than with T-piece.(ABSTRACT TRUNCATED AT 250 WORDS)","DOI":"10.1164/ajrccm/143.3.469","ISSN":"0003-0805","note":"PMID: 2001053","journalAbbreviation":"Am. Rev. Respir. Dis.","language":"eng","author":[{"family":"Sassoon","given":"C S"},{"family":"Light","given":"R W"},{"family":"Lodia","given":"R"},{"family":"Sieck","given":"G C"},{"family":"Mahutte","given":"C K"}],"issued":{"date-parts":[["1991",3]]},"PMID":"2001053"},"label":"page"},{"id":635,"uris":["http://zotero.org/users/1212533/items/CRMUQU8C"],"uri":["http://zotero.org/users/1212533/items/CRMUQU8C"],"itemData":{"id":635,"type":"article-journal","title":"Helium-oxygen in the postextubation period decreases inspiratory effort","container-title":"American journal of respiratory and critical care medicine","page":"633-637","volume":"164","issue":"4","source":"NCBI PubMed","abstract":"After tracheal extubation, upper and total airway resistances may frequently be increased resulting in an increase in inspiratory effort to breathe. We tested whether breathing a helium-oxygen mixture (HeO(2)) would reduce inspiratory effort in the period after extubation. Eighteen consecutive patients with no chronic obstructive pulmonary disease who had received mechanical ventilation (&gt; 48 h) were successively studied immediately after extubation (N(2)O(2)), 15 min after breathing HeO(2), and after return to N(2)O(2). Effort to breathe, assessed by the transdiaphragmatic pressure swings (DeltaPdi) and the pressure-time index of the diaphragm (PTI), comfort, and gas exchange, were the main end points. The mean reduction of the transdiaphragmatic pressure under HeO(2) was 19 +/- 5%. All but three patients presented a decrease in transdiaphragmatic pressure under HeO(2), ranging from - 4 to - 55%, and a significant reduction in DeltaPdi was observed between HeO(2) and N(2)O(2) (10.2 +/- 0.7 versus 8.6 +/- 1.1 versus 10.0 +/- 0.8 cm H(2)O for the three consecutive periods; p &lt; 0.05). PTI also differed significantly between HeO(2) and N(2)O(2) (197 +/- 19 versus 166 +/- 22 versus 201 +/- 23 cm H(2)O/s/min for the three periods; p &lt; 0.05). Breathing HeO(2) significantly improved comfort, whereas gas exchange was not modified. We conclude that the use of HeO(2) in the immediate postextubation period decreases inspiratory effort and improves comfort.","DOI":"10.1164/ajrccm.164.4.2008027","ISSN":"1073-449X","note":"PMID: 11520728","journalAbbreviation":"Am. J. Respir. Crit. Care Med.","language":"eng","author":[{"family":"Jaber","given":"S"},{"family":"Carlucci","given":"A"},{"family":"Boussarsar","given":"M"},{"family":"Fodil","given":"R"},{"family":"Pigeot","given":"J"},{"family":"Maggiore","given":"S"},{"family":"Harf","given":"A"},{"family":"Isabey","given":"D"},{"family":"Brochard","given":"L"}],"issued":{"date-parts":[["2001",8,15]]},"PMID":"11520728"},"label":"page"}],"schema":"https://github.com/citation-style-language/schema/raw/master/csl-citation.json"} </w:instrText>
      </w:r>
      <w:r w:rsidR="002F0453" w:rsidRPr="0091214D">
        <w:rPr>
          <w:rFonts w:ascii="Arial" w:hAnsi="Arial" w:cs="Arial"/>
          <w:color w:val="000000" w:themeColor="text1"/>
          <w:sz w:val="24"/>
          <w:szCs w:val="24"/>
          <w:lang w:val="en-US"/>
        </w:rPr>
        <w:fldChar w:fldCharType="separate"/>
      </w:r>
      <w:r w:rsidR="006205E8">
        <w:rPr>
          <w:rFonts w:ascii="Arial" w:hAnsi="Arial" w:cs="Arial"/>
          <w:color w:val="000000" w:themeColor="text1"/>
          <w:sz w:val="24"/>
          <w:szCs w:val="24"/>
        </w:rPr>
        <w:t>[8,9]</w:t>
      </w:r>
      <w:r w:rsidR="002F0453" w:rsidRPr="0091214D">
        <w:rPr>
          <w:rFonts w:ascii="Arial" w:hAnsi="Arial" w:cs="Arial"/>
          <w:color w:val="000000" w:themeColor="text1"/>
          <w:sz w:val="24"/>
          <w:szCs w:val="24"/>
          <w:lang w:val="en-US"/>
        </w:rPr>
        <w:fldChar w:fldCharType="end"/>
      </w:r>
      <w:r w:rsidRPr="0091214D">
        <w:rPr>
          <w:rFonts w:ascii="Arial" w:hAnsi="Arial" w:cs="Arial"/>
          <w:color w:val="000000" w:themeColor="text1"/>
          <w:sz w:val="24"/>
          <w:szCs w:val="24"/>
          <w:lang w:val="en-US"/>
        </w:rPr>
        <w:t xml:space="preserve">. </w:t>
      </w:r>
      <w:proofErr w:type="spellStart"/>
      <w:r w:rsidRPr="0091214D">
        <w:rPr>
          <w:rFonts w:ascii="Arial" w:hAnsi="Arial" w:cs="Arial"/>
          <w:color w:val="000000" w:themeColor="text1"/>
          <w:sz w:val="24"/>
          <w:szCs w:val="24"/>
          <w:lang w:val="en-US"/>
        </w:rPr>
        <w:t>PTPes</w:t>
      </w:r>
      <w:proofErr w:type="spellEnd"/>
      <w:r w:rsidRPr="0091214D">
        <w:rPr>
          <w:rFonts w:ascii="Arial" w:hAnsi="Arial" w:cs="Arial"/>
          <w:color w:val="000000" w:themeColor="text1"/>
          <w:sz w:val="24"/>
          <w:szCs w:val="24"/>
          <w:lang w:val="en-US"/>
        </w:rPr>
        <w:t xml:space="preserve"> was calculated as the integral of pressure during the time of inspiratory muscular effort. In the same way, the </w:t>
      </w:r>
      <w:proofErr w:type="spellStart"/>
      <w:r w:rsidRPr="0091214D">
        <w:rPr>
          <w:rFonts w:ascii="Arial" w:hAnsi="Arial" w:cs="Arial"/>
          <w:color w:val="000000" w:themeColor="text1"/>
          <w:sz w:val="24"/>
          <w:szCs w:val="24"/>
          <w:lang w:val="en-US"/>
        </w:rPr>
        <w:t>PTPdi</w:t>
      </w:r>
      <w:proofErr w:type="spellEnd"/>
      <w:r w:rsidRPr="0091214D">
        <w:rPr>
          <w:rFonts w:ascii="Arial" w:hAnsi="Arial" w:cs="Arial"/>
          <w:color w:val="000000" w:themeColor="text1"/>
          <w:sz w:val="24"/>
          <w:szCs w:val="24"/>
          <w:lang w:val="en-US"/>
        </w:rPr>
        <w:t xml:space="preserve"> was calculated by measuring the area under the Pdi signal from the onset of its positive increasing to its final deflection at the end of inspiratory muscular effort. The average </w:t>
      </w:r>
      <w:proofErr w:type="spellStart"/>
      <w:r w:rsidRPr="0091214D">
        <w:rPr>
          <w:rFonts w:ascii="Arial" w:hAnsi="Arial" w:cs="Arial"/>
          <w:color w:val="000000" w:themeColor="text1"/>
          <w:sz w:val="24"/>
          <w:szCs w:val="24"/>
          <w:lang w:val="en-US"/>
        </w:rPr>
        <w:t>PTPes</w:t>
      </w:r>
      <w:proofErr w:type="spellEnd"/>
      <w:r w:rsidRPr="0091214D">
        <w:rPr>
          <w:rFonts w:ascii="Arial" w:hAnsi="Arial" w:cs="Arial"/>
          <w:color w:val="000000" w:themeColor="text1"/>
          <w:sz w:val="24"/>
          <w:szCs w:val="24"/>
          <w:lang w:val="en-US"/>
        </w:rPr>
        <w:t xml:space="preserve"> and </w:t>
      </w:r>
      <w:proofErr w:type="spellStart"/>
      <w:r w:rsidRPr="0091214D">
        <w:rPr>
          <w:rFonts w:ascii="Arial" w:hAnsi="Arial" w:cs="Arial"/>
          <w:color w:val="000000" w:themeColor="text1"/>
          <w:sz w:val="24"/>
          <w:szCs w:val="24"/>
          <w:lang w:val="en-US"/>
        </w:rPr>
        <w:t>PTPdi</w:t>
      </w:r>
      <w:proofErr w:type="spellEnd"/>
      <w:r w:rsidRPr="0091214D">
        <w:rPr>
          <w:rFonts w:ascii="Arial" w:hAnsi="Arial" w:cs="Arial"/>
          <w:color w:val="000000" w:themeColor="text1"/>
          <w:sz w:val="24"/>
          <w:szCs w:val="24"/>
          <w:lang w:val="en-US"/>
        </w:rPr>
        <w:t xml:space="preserve"> were multiplied by the respiratory rate to obtain the </w:t>
      </w:r>
      <w:proofErr w:type="spellStart"/>
      <w:r w:rsidRPr="0091214D">
        <w:rPr>
          <w:rFonts w:ascii="Arial" w:hAnsi="Arial" w:cs="Arial"/>
          <w:color w:val="000000" w:themeColor="text1"/>
          <w:sz w:val="24"/>
          <w:szCs w:val="24"/>
          <w:lang w:val="en-US"/>
        </w:rPr>
        <w:t>PTPdi</w:t>
      </w:r>
      <w:proofErr w:type="spellEnd"/>
      <w:r w:rsidRPr="0091214D">
        <w:rPr>
          <w:rFonts w:ascii="Arial" w:hAnsi="Arial" w:cs="Arial"/>
          <w:color w:val="000000" w:themeColor="text1"/>
          <w:sz w:val="24"/>
          <w:szCs w:val="24"/>
          <w:lang w:val="en-US"/>
        </w:rPr>
        <w:t>/min (cm H</w:t>
      </w:r>
      <w:r w:rsidRPr="0091214D">
        <w:rPr>
          <w:rFonts w:ascii="Arial" w:hAnsi="Arial" w:cs="Arial"/>
          <w:color w:val="000000" w:themeColor="text1"/>
          <w:sz w:val="24"/>
          <w:szCs w:val="24"/>
          <w:vertAlign w:val="subscript"/>
          <w:lang w:val="en-US"/>
        </w:rPr>
        <w:t>2</w:t>
      </w:r>
      <w:r w:rsidRPr="0091214D">
        <w:rPr>
          <w:rFonts w:ascii="Arial" w:hAnsi="Arial" w:cs="Arial"/>
          <w:color w:val="000000" w:themeColor="text1"/>
          <w:sz w:val="24"/>
          <w:szCs w:val="24"/>
          <w:lang w:val="en-US"/>
        </w:rPr>
        <w:t>O.s/min-1).</w:t>
      </w:r>
    </w:p>
    <w:p w:rsidR="0073488D" w:rsidRDefault="0073488D" w:rsidP="009739B6">
      <w:pPr>
        <w:spacing w:line="480" w:lineRule="auto"/>
        <w:rPr>
          <w:rFonts w:ascii="Arial" w:hAnsi="Arial" w:cs="Arial"/>
          <w:color w:val="000000" w:themeColor="text1"/>
          <w:sz w:val="24"/>
          <w:szCs w:val="24"/>
          <w:lang w:val="en-US"/>
        </w:rPr>
      </w:pPr>
    </w:p>
    <w:p w:rsidR="005C0EDD" w:rsidRPr="0091214D" w:rsidRDefault="005C0EDD" w:rsidP="009739B6">
      <w:pPr>
        <w:spacing w:line="480" w:lineRule="auto"/>
        <w:rPr>
          <w:rFonts w:ascii="Arial" w:hAnsi="Arial" w:cs="Arial"/>
          <w:color w:val="000000" w:themeColor="text1"/>
          <w:sz w:val="24"/>
          <w:szCs w:val="24"/>
          <w:lang w:val="en-US"/>
        </w:r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Standard Monitoring.</w:t>
      </w: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Standard three-lead monitoring electrodes continuously recorded heart rate and rhythm. Oxygen saturation was continuously monitored using pulse oxymetry. Systolic and diastolic arterial blood pressures were continuously monitored through a 20-gauge catheter inserted in a radial or femoral artery. Arterial Blood Gases analysis (GEM Premier 3000 analyzer; Instrumentation Laboratory, Lexington, MA) were obtained at the end of each weaning test and before EELV oxygen wash-in/wash-out measurement.</w:t>
      </w:r>
    </w:p>
    <w:p w:rsidR="0073488D" w:rsidRPr="0091214D" w:rsidRDefault="0073488D" w:rsidP="009739B6">
      <w:pPr>
        <w:spacing w:line="480" w:lineRule="auto"/>
        <w:rPr>
          <w:rFonts w:ascii="Arial" w:hAnsi="Arial" w:cs="Arial"/>
          <w:color w:val="000000" w:themeColor="text1"/>
          <w:sz w:val="24"/>
          <w:szCs w:val="24"/>
          <w:lang w:val="en-US"/>
        </w:r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Statistical Analysis</w:t>
      </w:r>
    </w:p>
    <w:p w:rsidR="0073488D" w:rsidRPr="0091214D" w:rsidRDefault="0073488D" w:rsidP="009739B6">
      <w:pPr>
        <w:spacing w:line="480" w:lineRule="auto"/>
        <w:rPr>
          <w:rFonts w:ascii="Arial" w:hAnsi="Arial" w:cs="Arial"/>
          <w:color w:val="000000" w:themeColor="text1"/>
          <w:sz w:val="24"/>
          <w:szCs w:val="24"/>
          <w:highlight w:val="yellow"/>
          <w:lang w:val="en-US"/>
        </w:rPr>
      </w:pPr>
    </w:p>
    <w:p w:rsidR="0091214D" w:rsidRPr="0091214D" w:rsidRDefault="0091214D" w:rsidP="0091214D">
      <w:pPr>
        <w:autoSpaceDE w:val="0"/>
        <w:autoSpaceDN w:val="0"/>
        <w:adjustRightInd w:val="0"/>
        <w:spacing w:after="0" w:line="480" w:lineRule="auto"/>
        <w:rPr>
          <w:rFonts w:ascii="Arial" w:hAnsi="Arial" w:cs="Arial"/>
          <w:color w:val="000000" w:themeColor="text1"/>
          <w:sz w:val="24"/>
          <w:szCs w:val="24"/>
          <w:lang w:val="en-AU" w:eastAsia="fr-FR"/>
        </w:rPr>
      </w:pPr>
      <w:r w:rsidRPr="0091214D">
        <w:rPr>
          <w:rFonts w:ascii="Arial" w:hAnsi="Arial" w:cs="Arial"/>
          <w:color w:val="000000" w:themeColor="text1"/>
          <w:sz w:val="24"/>
          <w:szCs w:val="24"/>
          <w:lang w:val="en-AU" w:eastAsia="fr-FR"/>
        </w:rPr>
        <w:lastRenderedPageBreak/>
        <w:t xml:space="preserve">All values are presented as mean ± SD. To assess differences between the weaning tests, we used the Friedman test and then pairwise comparisons with Wilcoxon test if a significant difference appeared. Statistical analysis was performed by </w:t>
      </w:r>
      <w:proofErr w:type="gramStart"/>
      <w:r w:rsidRPr="0091214D">
        <w:rPr>
          <w:rFonts w:ascii="Arial" w:hAnsi="Arial" w:cs="Arial"/>
          <w:color w:val="000000" w:themeColor="text1"/>
          <w:sz w:val="24"/>
          <w:szCs w:val="24"/>
          <w:lang w:val="en-AU" w:eastAsia="fr-FR"/>
        </w:rPr>
        <w:t>an independent</w:t>
      </w:r>
      <w:proofErr w:type="gramEnd"/>
      <w:r w:rsidRPr="0091214D">
        <w:rPr>
          <w:rFonts w:ascii="Arial" w:hAnsi="Arial" w:cs="Arial"/>
          <w:color w:val="000000" w:themeColor="text1"/>
          <w:sz w:val="24"/>
          <w:szCs w:val="24"/>
          <w:lang w:val="en-AU" w:eastAsia="fr-FR"/>
        </w:rPr>
        <w:t xml:space="preserve"> statistician (NM) using R software © (R Foundation for Statistical Computing, Auckland, New Zealand). </w:t>
      </w:r>
    </w:p>
    <w:p w:rsidR="000E007F" w:rsidRPr="0091214D" w:rsidRDefault="0091214D" w:rsidP="0091214D">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AU"/>
        </w:rPr>
        <w:t xml:space="preserve">Based on the literature review, we hypothesized that the post extubation WOB would be similar than the T-Tube WOB </w:t>
      </w:r>
      <w:r w:rsidR="002F0453" w:rsidRPr="0091214D">
        <w:rPr>
          <w:rFonts w:ascii="Arial" w:hAnsi="Arial" w:cs="Arial"/>
          <w:color w:val="000000" w:themeColor="text1"/>
          <w:sz w:val="24"/>
          <w:szCs w:val="24"/>
          <w:lang w:val="en-AU"/>
        </w:rPr>
        <w:fldChar w:fldCharType="begin"/>
      </w:r>
      <w:r w:rsidR="00592667">
        <w:rPr>
          <w:rFonts w:ascii="Arial" w:hAnsi="Arial" w:cs="Arial"/>
          <w:color w:val="000000" w:themeColor="text1"/>
          <w:sz w:val="24"/>
          <w:szCs w:val="24"/>
          <w:lang w:val="en-AU"/>
        </w:rPr>
        <w:instrText xml:space="preserve"> ADDIN ZOTERO_ITEM CSL_CITATION {"citationID":"1nubeohl63","properties":{"formattedCitation":"[7,10]","plainCitation":"[7,10]"},"citationItems":[{"id":1272,"uris":["http://zotero.org/users/1212533/items/R3NWA3R8"],"uri":["http://zotero.org/users/1212533/items/R3NWA3R8"],"itemData":{"id":1272,"type":"article-journal","title":"Contribution of the endotracheal tube and the upper airway to breathing workload","container-title":"American journal of respiratory and critical care medicine","page":"23-30","volume":"157","issue":"1","source":"NCBI PubMed","abstract":"The influence of the endotracheal tube (ETT) during a T-piece trial remains controversial. Our aim was to compare the work of breathing of 14 successfully extubated patients at the end of a 2-h trial (T) and after extubation (E) of the trachea, and to assess, using the acoustic reflection method, the resistance of the endotracheal tube and of the supraglottic airway as well as their related work. We found that the work of breathing of the patients was identical between T and E (1.72 +/- 0.59 versus 1.63 +/- 0.45 J/L; p = 0.50 and 23.5 +/- 10.6 versus 22.6 +/- 9.7 J/min; p = 0.70). There was no significant difference between the beginning and the end of the T-piece trial (1.57 +/- 0.53 versus 1.72 +/- 0.59 J/ L, p = 0.10). The work caused by the ETT amounted to 11.0 +/- 3.9% of the total work of breathing. The supraglottic airway resistance was in the normal range and was significantly smaller than the endotracheal tube resistance (0.79 +/- 0.4 versus 1.43 +/- 0.31 cm H2O x s/L; p = 0.008, flow = 0.25 L/s). We conclude that a 2-h trial of spontaneous breathing through an endotracheal tube well mimics the work of breathing performed after extubation, in patients who pass a weaning trial and do not require reintubation.","DOI":"10.1164/ajrccm.157.1.96-10057","ISSN":"1073-449X","note":"PMID: 9445274","journalAbbreviation":"Am. J. Respir. Crit. Care Med.","language":"eng","author":[{"family":"Straus","given":"C"},{"family":"Louis","given":"B"},{"family":"Isabey","given":"D"},{"family":"Lemaire","given":"F"},{"family":"Harf","given":"A"},{"family":"Brochard","given":"L"}],"issued":{"date-parts":[["1998",1]]},"PMID":"9445274"},"label":"page"},{"id":981,"uris":["http://zotero.org/users/1212533/items/JI8M9GGQ"],"uri":["http://zotero.org/users/1212533/items/JI8M9GGQ"],"itemData":{"id":981,"type":"article-journal","title":"Inspiratory pressure support compensates for the additional work of breathing caused by the endotracheal tube","container-title":"Anesthesiology","page":"739-745","volume":"75","issue":"5","source":"NCBI PubMed","abstract":"Breathing through an endotracheal tube and a demand valve may increase the work performed by the respiratory muscles. Inspiratory pressure support (PS) is known to reduce this work and might therefore compensate for this increased requirement. To test this hypothesis, we measured the work of breathing (WOB) in 11 patients whose tracheas were intubated. Five had no intrinsic lung disease, but six had chronic obstructive lung disease. We compared WOB measurements taken under several sets of conditions: during assisted breathing at four levels of PS, during unassisted breathing and connection to a T-piece, and after extubation of the trachea. During unassisted breathing via the ventilator circuit (PS set at 0 cmH20), the WOB per minute was greater than that after extubation, with a mean increase (+/- standard deviation) of 68 +/- 38% (10.3 +/- 5.1 vs. 6.5 +/- 3.7 J.min-1, P less than 0.01). While breathing through the T-piece, the WOB was 27 +/- 18% greater than after tracheal extubation (8.2 +/- 5.1 vs. 6.5 +/- 3.7 J.min-1, P less than 0.05). The principal reason why inspiratory work decreased after extubation was that the ventilatory requirement decreased. For each patient, we determined retrospectively, after extubation, the level of PS that had reduced WOB to its postextubation value and obtained levels ranging from 3.4 to 14.4 cmH2O. The PS level at which additional WOB was compensated for, was greater in patients with chronic lung disease than in those free of lung disease (12.0 +/- 1.9 vs. 5.7 +/- 1.5 cm H2O, P less than 0.05).(ABSTRACT TRUNCATED AT 250 WORDS)","ISSN":"0003-3022","note":"PMID: 1952198","journalAbbreviation":"Anesthesiology","language":"eng","author":[{"family":"Brochard","given":"L"},{"family":"Rua","given":"F"},{"family":"Lorino","given":"H"},{"family":"Lemaire","given":"F"},{"family":"Harf","given":"A"}],"issued":{"date-parts":[["1991",11]]},"PMID":"1952198"},"label":"page"}],"schema":"https://github.com/citation-style-language/schema/raw/master/csl-citation.json"} </w:instrText>
      </w:r>
      <w:r w:rsidR="002F0453" w:rsidRPr="0091214D">
        <w:rPr>
          <w:rFonts w:ascii="Arial" w:hAnsi="Arial" w:cs="Arial"/>
          <w:color w:val="000000" w:themeColor="text1"/>
          <w:sz w:val="24"/>
          <w:szCs w:val="24"/>
          <w:lang w:val="en-AU"/>
        </w:rPr>
        <w:fldChar w:fldCharType="separate"/>
      </w:r>
      <w:r w:rsidR="006205E8">
        <w:rPr>
          <w:rFonts w:ascii="Arial" w:hAnsi="Arial" w:cs="Arial"/>
          <w:noProof/>
          <w:color w:val="000000" w:themeColor="text1"/>
          <w:sz w:val="24"/>
          <w:szCs w:val="24"/>
          <w:lang w:val="en-AU"/>
        </w:rPr>
        <w:t>[7,10]</w:t>
      </w:r>
      <w:r w:rsidR="002F0453" w:rsidRPr="0091214D">
        <w:rPr>
          <w:rFonts w:ascii="Arial" w:hAnsi="Arial" w:cs="Arial"/>
          <w:color w:val="000000" w:themeColor="text1"/>
          <w:sz w:val="24"/>
          <w:szCs w:val="24"/>
          <w:lang w:val="en-AU"/>
        </w:rPr>
        <w:fldChar w:fldCharType="end"/>
      </w:r>
      <w:r w:rsidRPr="0091214D">
        <w:rPr>
          <w:rFonts w:ascii="Arial" w:hAnsi="Arial" w:cs="Arial"/>
          <w:color w:val="000000" w:themeColor="text1"/>
          <w:sz w:val="24"/>
          <w:szCs w:val="24"/>
          <w:lang w:val="en-AU"/>
        </w:rPr>
        <w:t xml:space="preserve"> and would approximate 1.5 +/- 0.9 J/L in obese critically ill patients. We also hypothesized that WOB in PSV 7 cmH</w:t>
      </w:r>
      <w:r w:rsidRPr="0091214D">
        <w:rPr>
          <w:rFonts w:ascii="Arial" w:hAnsi="Arial" w:cs="Arial"/>
          <w:color w:val="000000" w:themeColor="text1"/>
          <w:sz w:val="24"/>
          <w:szCs w:val="24"/>
          <w:vertAlign w:val="subscript"/>
          <w:lang w:val="en-AU"/>
        </w:rPr>
        <w:t>2</w:t>
      </w:r>
      <w:r w:rsidRPr="0091214D">
        <w:rPr>
          <w:rFonts w:ascii="Arial" w:hAnsi="Arial" w:cs="Arial"/>
          <w:color w:val="000000" w:themeColor="text1"/>
          <w:sz w:val="24"/>
          <w:szCs w:val="24"/>
          <w:lang w:val="en-AU"/>
        </w:rPr>
        <w:t>O and PEEP 7 cmH</w:t>
      </w:r>
      <w:r w:rsidRPr="0091214D">
        <w:rPr>
          <w:rFonts w:ascii="Arial" w:hAnsi="Arial" w:cs="Arial"/>
          <w:color w:val="000000" w:themeColor="text1"/>
          <w:sz w:val="24"/>
          <w:szCs w:val="24"/>
          <w:vertAlign w:val="subscript"/>
          <w:lang w:val="en-AU"/>
        </w:rPr>
        <w:t>2</w:t>
      </w:r>
      <w:r w:rsidRPr="0091214D">
        <w:rPr>
          <w:rFonts w:ascii="Arial" w:hAnsi="Arial" w:cs="Arial"/>
          <w:color w:val="000000" w:themeColor="text1"/>
          <w:sz w:val="24"/>
          <w:szCs w:val="24"/>
          <w:lang w:val="en-AU"/>
        </w:rPr>
        <w:t xml:space="preserve">O would approximate 0.7 +/- 0.5 J/L </w:t>
      </w:r>
      <w:r w:rsidR="002F0453" w:rsidRPr="0091214D">
        <w:rPr>
          <w:rFonts w:ascii="Arial" w:hAnsi="Arial" w:cs="Arial"/>
          <w:color w:val="000000" w:themeColor="text1"/>
          <w:sz w:val="24"/>
          <w:szCs w:val="24"/>
          <w:lang w:val="en-AU"/>
        </w:rPr>
        <w:fldChar w:fldCharType="begin"/>
      </w:r>
      <w:r w:rsidR="00592667">
        <w:rPr>
          <w:rFonts w:ascii="Arial" w:hAnsi="Arial" w:cs="Arial"/>
          <w:color w:val="000000" w:themeColor="text1"/>
          <w:sz w:val="24"/>
          <w:szCs w:val="24"/>
          <w:lang w:val="en-AU"/>
        </w:rPr>
        <w:instrText xml:space="preserve"> ADDIN ZOTERO_ITEM CSL_CITATION {"citationID":"RSdhH0bo","properties":{"formattedCitation":"[11]","plainCitation":"[11]"},"citationItems":[{"id":472,"uris":["http://zotero.org/users/1212533/items/AEBMZIHE"],"uri":["http://zotero.org/users/1212533/items/AEBMZIHE"],"itemData":{"id":472,"type":"article-journal","title":"Prediction of post-extubation work of breathing","container-title":"Critical care medicine","page":"1341-1346","volume":"28","issue":"5","source":"NCBI PubMed","abstract":"OBJECTIVE: To evaluate which mode of preextubation ventilatory support most closely approximates the work of breathing performed by spontaneously breathing patients after extubation.\nDESIGN: Prospective observational design.\nSETTING: Medical, surgical, and coronary intensive care units in a university hospital.\nPATIENTS: A total of 22 intubated subjects were recruited when weaned and ready for extubation.\nINTERVENTIONS: Subjects were ventilated with continuous positive airway pressure at 5 cm H2O, spontaneous ventilation through an endotracheal tube (T piece), and pressure support ventilation at 5 cm H2O in randomized order for 15 mins each. At the end of each interval, we measured pulmonary mechanics including work of breathing reported as work per liter of ventilation, respiratory rate, tidal volume, negative change in esophageal pressure, pressure time product, and the airway occlusion pressure 100 msec after the onset of inspiratory flow, by using a microprocessor-based monitor. Subsequently, subjects were extubated, and measurements of pulmonary mechanics were repeated 15 and 60 mins after extubation.\nMEASUREMENTS AND MAIN RESULTS: There were no statistical differences between work per liter of ventilation measured during continuous positive airway pressure, T piece, or pressure support ventilation (1.17+/-0.67 joule/L, 1.11+/-0.57 joule/L, and 0.97+/-0.57 joule/L, respectively). However, work per liter of ventilation during all three preextubation modes was significantly lower than work measured 15 and 60 mins after extubation (p &lt; .05). Tidal volume during pressure support ventilation and continuous positive airway pressure (0.46+/-0.11 L and 0.44+/-0.11 L, respectively) were significantly greater than tidal volume during both T-piece breathing and spontaneous breathing 15 mins after extubation (p &lt; .05). Negative change in esophageal pressure, the airway occlusion pressure 100 msec after the onset of inspiratory flow, and pressure time product were significantly higher after extubation than during any of the three preextubation modes (p &lt; .05).\nCONCLUSIONS: Work per liter of ventilation, negative change in esophageal pressure, the airway occlusion pressure 100 msec after the onset of inspiratory flow, and pressure time product all significantly increase postextubation. Tidal volume during continuous positive airway pressure or pressure support ventilation overestimates postextubation tidal volume.","ISSN":"0090-3493","note":"PMID: 10834676","journalAbbreviation":"Crit. Care Med.","language":"eng","author":[{"family":"Mehta","given":"S"},{"family":"Nelson","given":"D L"},{"family":"Klinger","given":"J R"},{"family":"Buczko","given":"G B"},{"family":"Levy","given":"M M"}],"issued":{"date-parts":[["2000",5]]},"PMID":"10834676"}}],"schema":"https://github.com/citation-style-language/schema/raw/master/csl-citation.json"} </w:instrText>
      </w:r>
      <w:r w:rsidR="002F0453" w:rsidRPr="0091214D">
        <w:rPr>
          <w:rFonts w:ascii="Arial" w:hAnsi="Arial" w:cs="Arial"/>
          <w:color w:val="000000" w:themeColor="text1"/>
          <w:sz w:val="24"/>
          <w:szCs w:val="24"/>
          <w:lang w:val="en-AU"/>
        </w:rPr>
        <w:fldChar w:fldCharType="separate"/>
      </w:r>
      <w:r w:rsidR="006205E8">
        <w:rPr>
          <w:rFonts w:ascii="Arial" w:hAnsi="Arial" w:cs="Arial"/>
          <w:noProof/>
          <w:color w:val="000000" w:themeColor="text1"/>
          <w:sz w:val="24"/>
          <w:szCs w:val="24"/>
          <w:lang w:val="en-AU"/>
        </w:rPr>
        <w:t>[11]</w:t>
      </w:r>
      <w:r w:rsidR="002F0453" w:rsidRPr="0091214D">
        <w:rPr>
          <w:rFonts w:ascii="Arial" w:hAnsi="Arial" w:cs="Arial"/>
          <w:color w:val="000000" w:themeColor="text1"/>
          <w:sz w:val="24"/>
          <w:szCs w:val="24"/>
          <w:lang w:val="en-AU"/>
        </w:rPr>
        <w:fldChar w:fldCharType="end"/>
      </w:r>
      <w:r w:rsidRPr="0091214D">
        <w:rPr>
          <w:rFonts w:ascii="Arial" w:hAnsi="Arial" w:cs="Arial"/>
          <w:color w:val="000000" w:themeColor="text1"/>
          <w:sz w:val="24"/>
          <w:szCs w:val="24"/>
          <w:lang w:val="en-AU"/>
        </w:rPr>
        <w:t>. Then, with an alpha risk at 0.05 and a power at 0.90, twelve patients would be needed. We decided to include 17 patients in order to make sure that 12 patients will end the study. Significance was set at p &lt; 0.01 after correction for the number of multiple comparisons, i.e. 5, by Bonferroni test.</w:t>
      </w:r>
    </w:p>
    <w:p w:rsidR="009739B6" w:rsidRPr="0091214D" w:rsidRDefault="009739B6"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t>Results</w:t>
      </w:r>
    </w:p>
    <w:p w:rsidR="009739B6" w:rsidRPr="0091214D" w:rsidRDefault="009739B6" w:rsidP="009739B6">
      <w:pPr>
        <w:spacing w:line="480" w:lineRule="auto"/>
        <w:rPr>
          <w:rFonts w:ascii="Arial" w:hAnsi="Arial" w:cs="Arial"/>
          <w:color w:val="000000" w:themeColor="text1"/>
          <w:sz w:val="24"/>
          <w:szCs w:val="24"/>
          <w:lang w:val="en-US"/>
        </w:rPr>
      </w:pPr>
    </w:p>
    <w:p w:rsidR="009739B6" w:rsidRPr="0091214D" w:rsidRDefault="009739B6" w:rsidP="009739B6">
      <w:pPr>
        <w:widowControl w:val="0"/>
        <w:autoSpaceDE w:val="0"/>
        <w:autoSpaceDN w:val="0"/>
        <w:adjustRightInd w:val="0"/>
        <w:spacing w:line="480" w:lineRule="auto"/>
        <w:rPr>
          <w:rFonts w:ascii="Arial" w:hAnsi="Arial" w:cs="Arial"/>
          <w:color w:val="000000" w:themeColor="text1"/>
          <w:sz w:val="24"/>
          <w:szCs w:val="24"/>
          <w:lang w:val="en-AU"/>
        </w:rPr>
      </w:pPr>
      <w:r w:rsidRPr="0091214D">
        <w:rPr>
          <w:rFonts w:ascii="Arial" w:hAnsi="Arial" w:cs="Arial"/>
          <w:color w:val="000000" w:themeColor="text1"/>
          <w:sz w:val="24"/>
          <w:szCs w:val="24"/>
          <w:lang w:val="en-AU"/>
        </w:rPr>
        <w:t xml:space="preserve">Three patients (Patient #2, #3 and #8), not previously diagnosed with obstructive lung disease, did show a </w:t>
      </w:r>
      <w:r w:rsidR="00A61B59" w:rsidRPr="0091214D">
        <w:rPr>
          <w:rFonts w:ascii="Arial" w:hAnsi="Arial" w:cs="Arial"/>
          <w:color w:val="000000" w:themeColor="text1"/>
          <w:sz w:val="24"/>
          <w:szCs w:val="24"/>
          <w:lang w:val="en-AU"/>
        </w:rPr>
        <w:t>clinically relevant</w:t>
      </w:r>
      <w:r w:rsidRPr="0091214D">
        <w:rPr>
          <w:rFonts w:ascii="Arial" w:hAnsi="Arial" w:cs="Arial"/>
          <w:color w:val="000000" w:themeColor="text1"/>
          <w:sz w:val="24"/>
          <w:szCs w:val="24"/>
          <w:lang w:val="en-AU"/>
        </w:rPr>
        <w:t xml:space="preserve"> </w:t>
      </w:r>
      <w:r w:rsidR="00867E50" w:rsidRPr="0091214D">
        <w:rPr>
          <w:rFonts w:ascii="Arial" w:hAnsi="Arial" w:cs="Arial"/>
          <w:color w:val="000000" w:themeColor="text1"/>
          <w:sz w:val="24"/>
          <w:szCs w:val="24"/>
          <w:lang w:val="en-AU"/>
        </w:rPr>
        <w:t>intrinsic PEEP</w:t>
      </w:r>
      <w:r w:rsidRPr="0091214D">
        <w:rPr>
          <w:rFonts w:ascii="Arial" w:hAnsi="Arial" w:cs="Arial"/>
          <w:color w:val="000000" w:themeColor="text1"/>
          <w:sz w:val="24"/>
          <w:szCs w:val="24"/>
          <w:lang w:val="en-AU"/>
        </w:rPr>
        <w:t xml:space="preserve"> as reported in the table</w:t>
      </w:r>
      <w:r w:rsidR="0056154D" w:rsidRPr="0091214D">
        <w:rPr>
          <w:rFonts w:ascii="Arial" w:hAnsi="Arial" w:cs="Arial"/>
          <w:color w:val="000000" w:themeColor="text1"/>
          <w:sz w:val="24"/>
          <w:szCs w:val="24"/>
          <w:lang w:val="en-AU"/>
        </w:rPr>
        <w:t xml:space="preserve"> S2</w:t>
      </w:r>
      <w:r w:rsidR="00083941" w:rsidRPr="0091214D">
        <w:rPr>
          <w:rFonts w:ascii="Arial" w:hAnsi="Arial" w:cs="Arial"/>
          <w:color w:val="000000" w:themeColor="text1"/>
          <w:sz w:val="24"/>
          <w:szCs w:val="24"/>
          <w:lang w:val="en-AU"/>
        </w:rPr>
        <w:t>. The need to compensate for lung hyperinflation during inspiration</w:t>
      </w:r>
      <w:r w:rsidR="00A61B59" w:rsidRPr="0091214D">
        <w:rPr>
          <w:rFonts w:ascii="Arial" w:hAnsi="Arial" w:cs="Arial"/>
          <w:color w:val="000000" w:themeColor="text1"/>
          <w:sz w:val="24"/>
          <w:szCs w:val="24"/>
          <w:lang w:val="en-AU"/>
        </w:rPr>
        <w:t xml:space="preserve"> probably explain</w:t>
      </w:r>
      <w:r w:rsidR="00867E50" w:rsidRPr="0091214D">
        <w:rPr>
          <w:rFonts w:ascii="Arial" w:hAnsi="Arial" w:cs="Arial"/>
          <w:color w:val="000000" w:themeColor="text1"/>
          <w:sz w:val="24"/>
          <w:szCs w:val="24"/>
          <w:lang w:val="en-AU"/>
        </w:rPr>
        <w:t>s</w:t>
      </w:r>
      <w:r w:rsidR="00A61B59" w:rsidRPr="0091214D">
        <w:rPr>
          <w:rFonts w:ascii="Arial" w:hAnsi="Arial" w:cs="Arial"/>
          <w:color w:val="000000" w:themeColor="text1"/>
          <w:sz w:val="24"/>
          <w:szCs w:val="24"/>
          <w:lang w:val="en-AU"/>
        </w:rPr>
        <w:t xml:space="preserve"> higher trends for WOB, oesophageal and diaphragmatic swings during the 2 weaning trials without pressure support (PSV 0 PEEP 0 and T piece) </w:t>
      </w:r>
      <w:r w:rsidRPr="0091214D">
        <w:rPr>
          <w:rFonts w:ascii="Arial" w:hAnsi="Arial" w:cs="Arial"/>
          <w:color w:val="000000" w:themeColor="text1"/>
          <w:sz w:val="24"/>
          <w:szCs w:val="24"/>
          <w:lang w:val="en-AU"/>
        </w:rPr>
        <w:t>and dur</w:t>
      </w:r>
      <w:r w:rsidR="00867E50" w:rsidRPr="0091214D">
        <w:rPr>
          <w:rFonts w:ascii="Arial" w:hAnsi="Arial" w:cs="Arial"/>
          <w:color w:val="000000" w:themeColor="text1"/>
          <w:sz w:val="24"/>
          <w:szCs w:val="24"/>
          <w:lang w:val="en-AU"/>
        </w:rPr>
        <w:t>ing the post extubation measure</w:t>
      </w:r>
      <w:r w:rsidRPr="0091214D">
        <w:rPr>
          <w:rFonts w:ascii="Arial" w:hAnsi="Arial" w:cs="Arial"/>
          <w:color w:val="000000" w:themeColor="text1"/>
          <w:sz w:val="24"/>
          <w:szCs w:val="24"/>
          <w:lang w:val="en-AU"/>
        </w:rPr>
        <w:t xml:space="preserve">. </w:t>
      </w:r>
    </w:p>
    <w:p w:rsidR="00A61B59" w:rsidRPr="0091214D" w:rsidRDefault="00A61B59" w:rsidP="009739B6">
      <w:pPr>
        <w:widowControl w:val="0"/>
        <w:autoSpaceDE w:val="0"/>
        <w:autoSpaceDN w:val="0"/>
        <w:adjustRightInd w:val="0"/>
        <w:spacing w:line="480" w:lineRule="auto"/>
        <w:rPr>
          <w:rFonts w:ascii="Arial" w:hAnsi="Arial" w:cs="Arial"/>
          <w:color w:val="000000" w:themeColor="text1"/>
          <w:sz w:val="24"/>
          <w:szCs w:val="24"/>
          <w:lang w:val="en-AU"/>
        </w:rPr>
        <w:sectPr w:rsidR="00A61B59" w:rsidRPr="0091214D" w:rsidSect="00075BF3">
          <w:pgSz w:w="11906" w:h="16838"/>
          <w:pgMar w:top="1418" w:right="1418" w:bottom="1418" w:left="1418" w:header="709" w:footer="709" w:gutter="0"/>
          <w:pgNumType w:start="1"/>
          <w:cols w:space="708"/>
          <w:titlePg/>
          <w:docGrid w:linePitch="360"/>
        </w:sectPr>
      </w:pPr>
    </w:p>
    <w:p w:rsidR="005375D0" w:rsidRPr="0091214D" w:rsidRDefault="005375D0" w:rsidP="009739B6">
      <w:pPr>
        <w:widowControl w:val="0"/>
        <w:autoSpaceDE w:val="0"/>
        <w:autoSpaceDN w:val="0"/>
        <w:adjustRightInd w:val="0"/>
        <w:spacing w:line="480" w:lineRule="auto"/>
        <w:rPr>
          <w:rFonts w:ascii="Arial" w:hAnsi="Arial" w:cs="Arial"/>
          <w:color w:val="000000" w:themeColor="text1"/>
          <w:sz w:val="24"/>
          <w:szCs w:val="24"/>
          <w:u w:val="single"/>
          <w:lang w:val="en-AU"/>
        </w:rPr>
      </w:pPr>
      <w:r w:rsidRPr="0091214D">
        <w:rPr>
          <w:rFonts w:ascii="Arial" w:hAnsi="Arial" w:cs="Arial"/>
          <w:color w:val="000000" w:themeColor="text1"/>
          <w:sz w:val="24"/>
          <w:szCs w:val="24"/>
          <w:u w:val="single"/>
          <w:lang w:val="en-AU"/>
        </w:rPr>
        <w:lastRenderedPageBreak/>
        <w:t>Table S1</w:t>
      </w:r>
      <w:r w:rsidRPr="0091214D">
        <w:rPr>
          <w:rFonts w:ascii="Arial" w:hAnsi="Arial" w:cs="Arial"/>
          <w:color w:val="000000" w:themeColor="text1"/>
          <w:sz w:val="24"/>
          <w:szCs w:val="24"/>
          <w:lang w:val="en-AU"/>
        </w:rPr>
        <w:t xml:space="preserve">: </w:t>
      </w:r>
      <w:r w:rsidR="00AA3B5E" w:rsidRPr="0091214D">
        <w:rPr>
          <w:rFonts w:ascii="Arial" w:hAnsi="Arial" w:cs="Arial"/>
          <w:color w:val="000000" w:themeColor="text1"/>
          <w:sz w:val="24"/>
          <w:szCs w:val="24"/>
          <w:lang w:val="en-AU"/>
        </w:rPr>
        <w:t xml:space="preserve">Randomization table. </w:t>
      </w:r>
    </w:p>
    <w:tbl>
      <w:tblPr>
        <w:tblW w:w="10271" w:type="dxa"/>
        <w:tblInd w:w="55" w:type="dxa"/>
        <w:tblCellMar>
          <w:left w:w="70" w:type="dxa"/>
          <w:right w:w="70" w:type="dxa"/>
        </w:tblCellMar>
        <w:tblLook w:val="04A0"/>
      </w:tblPr>
      <w:tblGrid>
        <w:gridCol w:w="1008"/>
        <w:gridCol w:w="1687"/>
        <w:gridCol w:w="1756"/>
        <w:gridCol w:w="1595"/>
        <w:gridCol w:w="2164"/>
        <w:gridCol w:w="2061"/>
      </w:tblGrid>
      <w:tr w:rsidR="005375D0" w:rsidRPr="0091214D" w:rsidTr="005375D0">
        <w:trPr>
          <w:trHeight w:val="300"/>
        </w:trPr>
        <w:tc>
          <w:tcPr>
            <w:tcW w:w="1008" w:type="dxa"/>
            <w:tcBorders>
              <w:top w:val="single" w:sz="4" w:space="0" w:color="auto"/>
              <w:bottom w:val="single" w:sz="4" w:space="0" w:color="auto"/>
            </w:tcBorders>
            <w:shd w:val="clear" w:color="auto" w:fill="auto"/>
            <w:noWrap/>
            <w:vAlign w:val="center"/>
            <w:hideMark/>
          </w:tcPr>
          <w:p w:rsidR="005375D0" w:rsidRPr="0091214D" w:rsidRDefault="005375D0" w:rsidP="005375D0">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Patient N°</w:t>
            </w:r>
          </w:p>
        </w:tc>
        <w:tc>
          <w:tcPr>
            <w:tcW w:w="1687" w:type="dxa"/>
            <w:tcBorders>
              <w:top w:val="single" w:sz="4" w:space="0" w:color="auto"/>
              <w:bottom w:val="single" w:sz="4" w:space="0" w:color="auto"/>
            </w:tcBorders>
            <w:shd w:val="clear" w:color="auto" w:fill="auto"/>
            <w:noWrap/>
            <w:vAlign w:val="center"/>
            <w:hideMark/>
          </w:tcPr>
          <w:p w:rsidR="005375D0" w:rsidRPr="0091214D" w:rsidRDefault="005375D0" w:rsidP="005375D0">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WEANING TEST 1</w:t>
            </w:r>
          </w:p>
        </w:tc>
        <w:tc>
          <w:tcPr>
            <w:tcW w:w="1756" w:type="dxa"/>
            <w:tcBorders>
              <w:top w:val="single" w:sz="4" w:space="0" w:color="auto"/>
              <w:bottom w:val="single" w:sz="4" w:space="0" w:color="auto"/>
            </w:tcBorders>
            <w:shd w:val="clear" w:color="auto" w:fill="auto"/>
            <w:noWrap/>
            <w:vAlign w:val="center"/>
            <w:hideMark/>
          </w:tcPr>
          <w:p w:rsidR="005375D0" w:rsidRPr="0091214D" w:rsidRDefault="005375D0" w:rsidP="005375D0">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WEANING TEST 2</w:t>
            </w:r>
          </w:p>
        </w:tc>
        <w:tc>
          <w:tcPr>
            <w:tcW w:w="1595" w:type="dxa"/>
            <w:tcBorders>
              <w:top w:val="single" w:sz="4" w:space="0" w:color="auto"/>
              <w:bottom w:val="single" w:sz="4" w:space="0" w:color="auto"/>
            </w:tcBorders>
            <w:shd w:val="clear" w:color="auto" w:fill="auto"/>
            <w:noWrap/>
            <w:vAlign w:val="center"/>
            <w:hideMark/>
          </w:tcPr>
          <w:p w:rsidR="005375D0" w:rsidRPr="0091214D" w:rsidRDefault="005375D0" w:rsidP="005375D0">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WEANING TEST 3</w:t>
            </w:r>
          </w:p>
        </w:tc>
        <w:tc>
          <w:tcPr>
            <w:tcW w:w="2164" w:type="dxa"/>
            <w:tcBorders>
              <w:top w:val="single" w:sz="4" w:space="0" w:color="auto"/>
              <w:bottom w:val="single" w:sz="4" w:space="0" w:color="auto"/>
            </w:tcBorders>
            <w:shd w:val="clear" w:color="auto" w:fill="auto"/>
            <w:noWrap/>
            <w:vAlign w:val="center"/>
            <w:hideMark/>
          </w:tcPr>
          <w:p w:rsidR="005375D0" w:rsidRPr="0091214D" w:rsidRDefault="005375D0" w:rsidP="005375D0">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WEANING TEST 4</w:t>
            </w:r>
          </w:p>
        </w:tc>
        <w:tc>
          <w:tcPr>
            <w:tcW w:w="2061" w:type="dxa"/>
            <w:tcBorders>
              <w:top w:val="single" w:sz="4" w:space="0" w:color="auto"/>
              <w:bottom w:val="single" w:sz="4" w:space="0" w:color="auto"/>
            </w:tcBorders>
            <w:shd w:val="clear" w:color="auto" w:fill="auto"/>
            <w:noWrap/>
            <w:vAlign w:val="center"/>
            <w:hideMark/>
          </w:tcPr>
          <w:p w:rsidR="005375D0" w:rsidRPr="0091214D" w:rsidRDefault="005375D0" w:rsidP="005375D0">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WEANING TEST 5</w:t>
            </w:r>
          </w:p>
        </w:tc>
      </w:tr>
      <w:tr w:rsidR="005375D0" w:rsidRPr="0091214D" w:rsidTr="00920DA1">
        <w:trPr>
          <w:trHeight w:val="300"/>
        </w:trPr>
        <w:tc>
          <w:tcPr>
            <w:tcW w:w="1008" w:type="dxa"/>
            <w:tcBorders>
              <w:top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w:t>
            </w:r>
          </w:p>
        </w:tc>
        <w:tc>
          <w:tcPr>
            <w:tcW w:w="1687" w:type="dxa"/>
            <w:tcBorders>
              <w:top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1756" w:type="dxa"/>
            <w:tcBorders>
              <w:top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1595" w:type="dxa"/>
            <w:tcBorders>
              <w:top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2164" w:type="dxa"/>
            <w:tcBorders>
              <w:top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2061" w:type="dxa"/>
            <w:tcBorders>
              <w:top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2</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3</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4</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5</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6</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7</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8</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PS7PEEP7</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PS0PEEP7</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PS7PEEP0</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PS0PEEP0</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9</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PS7PEEP0</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PS7PEEP7</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PS0PEEP7</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10</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PS7PEEP0</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PS7PEEP7</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PS0PEEP7</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11</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PS7PEEP7</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PS0PEEP7</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PS7PEEP0</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PS0PEEP0</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12</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13</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14</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r>
      <w:tr w:rsidR="005375D0" w:rsidRPr="0091214D" w:rsidTr="00920DA1">
        <w:trPr>
          <w:trHeight w:val="300"/>
        </w:trPr>
        <w:tc>
          <w:tcPr>
            <w:tcW w:w="1008"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15</w:t>
            </w:r>
          </w:p>
        </w:tc>
        <w:tc>
          <w:tcPr>
            <w:tcW w:w="1687"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1756"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PS7 PEEP 0</w:t>
            </w:r>
          </w:p>
        </w:tc>
        <w:tc>
          <w:tcPr>
            <w:tcW w:w="1595"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c>
          <w:tcPr>
            <w:tcW w:w="2164"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2061" w:type="dxa"/>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r>
      <w:tr w:rsidR="005375D0" w:rsidRPr="0091214D" w:rsidTr="00920DA1">
        <w:trPr>
          <w:trHeight w:val="300"/>
        </w:trPr>
        <w:tc>
          <w:tcPr>
            <w:tcW w:w="1008" w:type="dxa"/>
            <w:tcBorders>
              <w:bottom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16</w:t>
            </w:r>
          </w:p>
        </w:tc>
        <w:tc>
          <w:tcPr>
            <w:tcW w:w="1687" w:type="dxa"/>
            <w:tcBorders>
              <w:bottom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0</w:t>
            </w:r>
          </w:p>
        </w:tc>
        <w:tc>
          <w:tcPr>
            <w:tcW w:w="1756" w:type="dxa"/>
            <w:tcBorders>
              <w:bottom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TT</w:t>
            </w:r>
          </w:p>
        </w:tc>
        <w:tc>
          <w:tcPr>
            <w:tcW w:w="1595" w:type="dxa"/>
            <w:tcBorders>
              <w:bottom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0</w:t>
            </w:r>
          </w:p>
        </w:tc>
        <w:tc>
          <w:tcPr>
            <w:tcW w:w="2164" w:type="dxa"/>
            <w:tcBorders>
              <w:bottom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7 PEEP 7</w:t>
            </w:r>
          </w:p>
        </w:tc>
        <w:tc>
          <w:tcPr>
            <w:tcW w:w="2061" w:type="dxa"/>
            <w:tcBorders>
              <w:bottom w:val="single" w:sz="4" w:space="0" w:color="auto"/>
            </w:tcBorders>
            <w:shd w:val="clear" w:color="auto" w:fill="auto"/>
            <w:noWrap/>
            <w:vAlign w:val="center"/>
            <w:hideMark/>
          </w:tcPr>
          <w:p w:rsidR="005375D0" w:rsidRPr="0091214D" w:rsidRDefault="005375D0" w:rsidP="00920DA1">
            <w:pPr>
              <w:spacing w:line="360" w:lineRule="auto"/>
              <w:jc w:val="center"/>
              <w:rPr>
                <w:rFonts w:ascii="Arial" w:eastAsia="Times New Roman" w:hAnsi="Arial" w:cs="Arial"/>
                <w:color w:val="000000" w:themeColor="text1"/>
              </w:rPr>
            </w:pPr>
            <w:r w:rsidRPr="0091214D">
              <w:rPr>
                <w:rFonts w:ascii="Arial" w:eastAsia="Times New Roman" w:hAnsi="Arial" w:cs="Arial"/>
                <w:color w:val="000000" w:themeColor="text1"/>
              </w:rPr>
              <w:t>PS 0 PEEP 7</w:t>
            </w:r>
          </w:p>
        </w:tc>
      </w:tr>
    </w:tbl>
    <w:p w:rsidR="005375D0" w:rsidRPr="0091214D" w:rsidRDefault="005375D0" w:rsidP="009739B6">
      <w:pPr>
        <w:widowControl w:val="0"/>
        <w:autoSpaceDE w:val="0"/>
        <w:autoSpaceDN w:val="0"/>
        <w:adjustRightInd w:val="0"/>
        <w:spacing w:line="480" w:lineRule="auto"/>
        <w:rPr>
          <w:rFonts w:ascii="Arial" w:hAnsi="Arial" w:cs="Arial"/>
          <w:color w:val="000000" w:themeColor="text1"/>
          <w:sz w:val="24"/>
          <w:szCs w:val="24"/>
          <w:lang w:val="en-AU"/>
        </w:rPr>
      </w:pPr>
      <w:r w:rsidRPr="0091214D">
        <w:rPr>
          <w:rFonts w:ascii="Arial" w:hAnsi="Arial" w:cs="Arial"/>
          <w:color w:val="000000" w:themeColor="text1"/>
          <w:sz w:val="24"/>
          <w:szCs w:val="24"/>
          <w:lang w:val="en-AU"/>
        </w:rPr>
        <w:t>PEEP: End Expiratory Positive Pressure; PS: Pressure Support; TT: T piece</w:t>
      </w:r>
    </w:p>
    <w:p w:rsidR="005375D0" w:rsidRPr="0091214D" w:rsidRDefault="005375D0" w:rsidP="009739B6">
      <w:pPr>
        <w:widowControl w:val="0"/>
        <w:autoSpaceDE w:val="0"/>
        <w:autoSpaceDN w:val="0"/>
        <w:adjustRightInd w:val="0"/>
        <w:spacing w:line="480" w:lineRule="auto"/>
        <w:rPr>
          <w:rFonts w:ascii="Arial" w:hAnsi="Arial" w:cs="Arial"/>
          <w:color w:val="000000" w:themeColor="text1"/>
          <w:sz w:val="24"/>
          <w:szCs w:val="24"/>
          <w:u w:val="single"/>
          <w:lang w:val="en-AU"/>
        </w:rPr>
      </w:pPr>
    </w:p>
    <w:p w:rsidR="005375D0" w:rsidRPr="0091214D" w:rsidRDefault="005375D0" w:rsidP="009739B6">
      <w:pPr>
        <w:widowControl w:val="0"/>
        <w:autoSpaceDE w:val="0"/>
        <w:autoSpaceDN w:val="0"/>
        <w:adjustRightInd w:val="0"/>
        <w:spacing w:line="480" w:lineRule="auto"/>
        <w:rPr>
          <w:rFonts w:ascii="Arial" w:hAnsi="Arial" w:cs="Arial"/>
          <w:color w:val="000000" w:themeColor="text1"/>
          <w:sz w:val="24"/>
          <w:szCs w:val="24"/>
          <w:u w:val="single"/>
          <w:lang w:val="en-AU"/>
        </w:rPr>
        <w:sectPr w:rsidR="005375D0" w:rsidRPr="0091214D" w:rsidSect="00075BF3">
          <w:pgSz w:w="11906" w:h="16838"/>
          <w:pgMar w:top="1418" w:right="1418" w:bottom="1418" w:left="1418" w:header="709" w:footer="709" w:gutter="0"/>
          <w:pgNumType w:start="1"/>
          <w:cols w:space="708"/>
          <w:titlePg/>
          <w:docGrid w:linePitch="360"/>
        </w:sectPr>
      </w:pPr>
    </w:p>
    <w:p w:rsidR="009739B6" w:rsidRPr="0091214D" w:rsidRDefault="009739B6" w:rsidP="0041174C">
      <w:pPr>
        <w:widowControl w:val="0"/>
        <w:autoSpaceDE w:val="0"/>
        <w:autoSpaceDN w:val="0"/>
        <w:adjustRightInd w:val="0"/>
        <w:spacing w:after="0" w:line="480" w:lineRule="auto"/>
        <w:rPr>
          <w:rFonts w:ascii="Arial" w:hAnsi="Arial" w:cs="Arial"/>
          <w:color w:val="000000" w:themeColor="text1"/>
          <w:sz w:val="24"/>
          <w:szCs w:val="24"/>
          <w:lang w:val="en-AU"/>
        </w:rPr>
      </w:pPr>
      <w:r w:rsidRPr="0091214D">
        <w:rPr>
          <w:rFonts w:ascii="Arial" w:hAnsi="Arial" w:cs="Arial"/>
          <w:color w:val="000000" w:themeColor="text1"/>
          <w:sz w:val="24"/>
          <w:szCs w:val="24"/>
          <w:u w:val="single"/>
          <w:lang w:val="en-AU"/>
        </w:rPr>
        <w:lastRenderedPageBreak/>
        <w:t>Table S</w:t>
      </w:r>
      <w:r w:rsidR="0056154D" w:rsidRPr="0091214D">
        <w:rPr>
          <w:rFonts w:ascii="Arial" w:hAnsi="Arial" w:cs="Arial"/>
          <w:color w:val="000000" w:themeColor="text1"/>
          <w:sz w:val="24"/>
          <w:szCs w:val="24"/>
          <w:u w:val="single"/>
          <w:lang w:val="en-AU"/>
        </w:rPr>
        <w:t>2</w:t>
      </w:r>
      <w:r w:rsidRPr="0091214D">
        <w:rPr>
          <w:rFonts w:ascii="Arial" w:hAnsi="Arial" w:cs="Arial"/>
          <w:color w:val="000000" w:themeColor="text1"/>
          <w:sz w:val="24"/>
          <w:szCs w:val="24"/>
          <w:lang w:val="en-AU"/>
        </w:rPr>
        <w:t>: Individual intrinsic PEEP (cmH</w:t>
      </w:r>
      <w:r w:rsidRPr="0091214D">
        <w:rPr>
          <w:rFonts w:ascii="Arial" w:hAnsi="Arial" w:cs="Arial"/>
          <w:color w:val="000000" w:themeColor="text1"/>
          <w:sz w:val="24"/>
          <w:szCs w:val="24"/>
          <w:vertAlign w:val="subscript"/>
          <w:lang w:val="en-AU"/>
        </w:rPr>
        <w:t>2</w:t>
      </w:r>
      <w:r w:rsidRPr="0091214D">
        <w:rPr>
          <w:rFonts w:ascii="Arial" w:hAnsi="Arial" w:cs="Arial"/>
          <w:color w:val="000000" w:themeColor="text1"/>
          <w:sz w:val="24"/>
          <w:szCs w:val="24"/>
          <w:lang w:val="en-AU"/>
        </w:rPr>
        <w:t xml:space="preserve">O) for the 16 patients during the 5 weaning tests and post extubation. In bold are presented the </w:t>
      </w:r>
      <w:proofErr w:type="spellStart"/>
      <w:r w:rsidRPr="0091214D">
        <w:rPr>
          <w:rFonts w:ascii="Arial" w:hAnsi="Arial" w:cs="Arial"/>
          <w:color w:val="000000" w:themeColor="text1"/>
          <w:sz w:val="24"/>
          <w:szCs w:val="24"/>
          <w:lang w:val="en-AU"/>
        </w:rPr>
        <w:t>PEEPi</w:t>
      </w:r>
      <w:proofErr w:type="spellEnd"/>
      <w:r w:rsidRPr="0091214D">
        <w:rPr>
          <w:rFonts w:ascii="Arial" w:hAnsi="Arial" w:cs="Arial"/>
          <w:color w:val="000000" w:themeColor="text1"/>
          <w:sz w:val="24"/>
          <w:szCs w:val="24"/>
          <w:lang w:val="en-AU"/>
        </w:rPr>
        <w:t xml:space="preserve"> of the</w:t>
      </w:r>
      <w:r w:rsidR="00867E50" w:rsidRPr="0091214D">
        <w:rPr>
          <w:rFonts w:ascii="Arial" w:hAnsi="Arial" w:cs="Arial"/>
          <w:color w:val="000000" w:themeColor="text1"/>
          <w:sz w:val="24"/>
          <w:szCs w:val="24"/>
          <w:lang w:val="en-AU"/>
        </w:rPr>
        <w:t>se 3 patients.</w:t>
      </w:r>
    </w:p>
    <w:tbl>
      <w:tblPr>
        <w:tblW w:w="9383" w:type="dxa"/>
        <w:tblInd w:w="55" w:type="dxa"/>
        <w:tblCellMar>
          <w:left w:w="70" w:type="dxa"/>
          <w:right w:w="70" w:type="dxa"/>
        </w:tblCellMar>
        <w:tblLook w:val="04A0"/>
      </w:tblPr>
      <w:tblGrid>
        <w:gridCol w:w="1602"/>
        <w:gridCol w:w="1203"/>
        <w:gridCol w:w="974"/>
        <w:gridCol w:w="1088"/>
        <w:gridCol w:w="974"/>
        <w:gridCol w:w="1269"/>
        <w:gridCol w:w="2273"/>
      </w:tblGrid>
      <w:tr w:rsidR="009739B6" w:rsidRPr="0041174C" w:rsidTr="0041174C">
        <w:trPr>
          <w:cantSplit/>
          <w:trHeight w:val="777"/>
        </w:trPr>
        <w:tc>
          <w:tcPr>
            <w:tcW w:w="0" w:type="dxa"/>
            <w:tcBorders>
              <w:top w:val="single" w:sz="4" w:space="0" w:color="auto"/>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Patient</w:t>
            </w:r>
          </w:p>
        </w:tc>
        <w:tc>
          <w:tcPr>
            <w:tcW w:w="0" w:type="dxa"/>
            <w:tcBorders>
              <w:top w:val="single" w:sz="4" w:space="0" w:color="auto"/>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AI7 PEP7</w:t>
            </w:r>
          </w:p>
        </w:tc>
        <w:tc>
          <w:tcPr>
            <w:tcW w:w="0" w:type="dxa"/>
            <w:tcBorders>
              <w:top w:val="single" w:sz="4" w:space="0" w:color="auto"/>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AI 0 PEP 7</w:t>
            </w:r>
          </w:p>
        </w:tc>
        <w:tc>
          <w:tcPr>
            <w:tcW w:w="0" w:type="dxa"/>
            <w:tcBorders>
              <w:top w:val="single" w:sz="4" w:space="0" w:color="auto"/>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AI 7 PEP 0</w:t>
            </w:r>
          </w:p>
        </w:tc>
        <w:tc>
          <w:tcPr>
            <w:tcW w:w="0" w:type="dxa"/>
            <w:tcBorders>
              <w:top w:val="single" w:sz="4" w:space="0" w:color="auto"/>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AI 0 PEP 0</w:t>
            </w:r>
          </w:p>
        </w:tc>
        <w:tc>
          <w:tcPr>
            <w:tcW w:w="0" w:type="dxa"/>
            <w:tcBorders>
              <w:top w:val="single" w:sz="4" w:space="0" w:color="auto"/>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T-</w:t>
            </w:r>
            <w:proofErr w:type="spellStart"/>
            <w:r w:rsidRPr="0041174C">
              <w:t>piece</w:t>
            </w:r>
            <w:proofErr w:type="spellEnd"/>
          </w:p>
        </w:tc>
        <w:tc>
          <w:tcPr>
            <w:tcW w:w="0" w:type="dxa"/>
            <w:tcBorders>
              <w:top w:val="single" w:sz="4" w:space="0" w:color="auto"/>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 xml:space="preserve">Post </w:t>
            </w:r>
            <w:proofErr w:type="spellStart"/>
            <w:r w:rsidRPr="0041174C">
              <w:t>Extubation</w:t>
            </w:r>
            <w:proofErr w:type="spellEnd"/>
          </w:p>
        </w:tc>
      </w:tr>
      <w:tr w:rsidR="009739B6" w:rsidRPr="0041174C" w:rsidTr="0041174C">
        <w:trPr>
          <w:cantSplit/>
          <w:trHeight w:val="144"/>
        </w:trPr>
        <w:tc>
          <w:tcPr>
            <w:tcW w:w="0" w:type="dxa"/>
            <w:tcBorders>
              <w:top w:val="single" w:sz="4" w:space="0" w:color="auto"/>
            </w:tcBorders>
            <w:shd w:val="clear" w:color="auto" w:fill="auto"/>
            <w:noWrap/>
            <w:vAlign w:val="center"/>
            <w:hideMark/>
          </w:tcPr>
          <w:p w:rsidR="009739B6" w:rsidRPr="0041174C" w:rsidRDefault="009739B6" w:rsidP="009739B6">
            <w:pPr>
              <w:spacing w:line="480" w:lineRule="auto"/>
              <w:jc w:val="center"/>
            </w:pPr>
            <w:r w:rsidRPr="0041174C">
              <w:t>1</w:t>
            </w:r>
          </w:p>
        </w:tc>
        <w:tc>
          <w:tcPr>
            <w:tcW w:w="0" w:type="dxa"/>
            <w:tcBorders>
              <w:top w:val="single" w:sz="4" w:space="0" w:color="auto"/>
            </w:tcBorders>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1</w:t>
            </w:r>
          </w:p>
        </w:tc>
        <w:tc>
          <w:tcPr>
            <w:tcW w:w="0" w:type="dxa"/>
            <w:tcBorders>
              <w:top w:val="single" w:sz="4" w:space="0" w:color="auto"/>
            </w:tcBorders>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6</w:t>
            </w:r>
          </w:p>
        </w:tc>
        <w:tc>
          <w:tcPr>
            <w:tcW w:w="0" w:type="dxa"/>
            <w:tcBorders>
              <w:top w:val="single" w:sz="4" w:space="0" w:color="auto"/>
            </w:tcBorders>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4</w:t>
            </w:r>
          </w:p>
        </w:tc>
        <w:tc>
          <w:tcPr>
            <w:tcW w:w="0" w:type="dxa"/>
            <w:tcBorders>
              <w:top w:val="single" w:sz="4" w:space="0" w:color="auto"/>
            </w:tcBorders>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2</w:t>
            </w:r>
          </w:p>
        </w:tc>
        <w:tc>
          <w:tcPr>
            <w:tcW w:w="0" w:type="dxa"/>
            <w:tcBorders>
              <w:top w:val="single" w:sz="4" w:space="0" w:color="auto"/>
            </w:tcBorders>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2</w:t>
            </w:r>
          </w:p>
        </w:tc>
        <w:tc>
          <w:tcPr>
            <w:tcW w:w="0" w:type="dxa"/>
            <w:tcBorders>
              <w:top w:val="single" w:sz="4" w:space="0" w:color="auto"/>
            </w:tcBorders>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3</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3</w:t>
            </w:r>
            <w:r w:rsidR="00A61B59" w:rsidRPr="0041174C">
              <w:t>.</w:t>
            </w: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4</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8</w:t>
            </w:r>
            <w:r w:rsidR="00A61B59" w:rsidRPr="0041174C">
              <w:t>.</w:t>
            </w: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8</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9</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7</w:t>
            </w:r>
            <w:r w:rsidR="00A61B59" w:rsidRPr="0041174C">
              <w:t>.</w:t>
            </w:r>
            <w:r w:rsidRPr="0041174C">
              <w:t>1</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2</w:t>
            </w:r>
            <w:r w:rsidR="00A61B59" w:rsidRPr="0041174C">
              <w:t>.</w:t>
            </w:r>
            <w:r w:rsidRPr="0041174C">
              <w:t>08</w:t>
            </w:r>
          </w:p>
        </w:tc>
        <w:tc>
          <w:tcPr>
            <w:tcW w:w="0" w:type="dxa"/>
            <w:shd w:val="clear" w:color="auto" w:fill="auto"/>
            <w:noWrap/>
            <w:vAlign w:val="center"/>
            <w:hideMark/>
          </w:tcPr>
          <w:p w:rsidR="009739B6" w:rsidRPr="0041174C" w:rsidRDefault="009739B6" w:rsidP="009739B6">
            <w:pPr>
              <w:spacing w:line="480" w:lineRule="auto"/>
              <w:jc w:val="center"/>
            </w:pPr>
            <w:r w:rsidRPr="0041174C">
              <w:t>2</w:t>
            </w:r>
            <w:r w:rsidR="00A61B59" w:rsidRPr="0041174C">
              <w:t>.</w:t>
            </w:r>
            <w:r w:rsidRPr="0041174C">
              <w:t>7</w:t>
            </w:r>
          </w:p>
        </w:tc>
        <w:tc>
          <w:tcPr>
            <w:tcW w:w="0" w:type="dxa"/>
            <w:shd w:val="clear" w:color="auto" w:fill="auto"/>
            <w:noWrap/>
            <w:vAlign w:val="center"/>
            <w:hideMark/>
          </w:tcPr>
          <w:p w:rsidR="009739B6" w:rsidRPr="0041174C" w:rsidRDefault="009739B6" w:rsidP="009739B6">
            <w:pPr>
              <w:spacing w:line="480" w:lineRule="auto"/>
              <w:jc w:val="center"/>
            </w:pPr>
            <w:r w:rsidRPr="0041174C">
              <w:t>5</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4</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3</w:t>
            </w:r>
            <w:r w:rsidR="00A61B59" w:rsidRPr="0041174C">
              <w:t>.</w:t>
            </w: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6</w:t>
            </w:r>
            <w:r w:rsidR="00A61B59" w:rsidRPr="0041174C">
              <w:t>.</w:t>
            </w:r>
            <w:r w:rsidRPr="0041174C">
              <w:t>3</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7</w:t>
            </w:r>
          </w:p>
        </w:tc>
        <w:tc>
          <w:tcPr>
            <w:tcW w:w="0" w:type="dxa"/>
            <w:shd w:val="clear" w:color="auto" w:fill="auto"/>
            <w:noWrap/>
            <w:vAlign w:val="center"/>
            <w:hideMark/>
          </w:tcPr>
          <w:p w:rsidR="009739B6" w:rsidRPr="0041174C" w:rsidRDefault="009739B6" w:rsidP="009739B6">
            <w:pPr>
              <w:spacing w:line="480" w:lineRule="auto"/>
              <w:jc w:val="center"/>
            </w:pPr>
            <w:r w:rsidRPr="0041174C">
              <w:t>2</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2</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3</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3</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7</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7</w:t>
            </w:r>
          </w:p>
        </w:tc>
        <w:tc>
          <w:tcPr>
            <w:tcW w:w="0" w:type="dxa"/>
            <w:shd w:val="clear" w:color="auto" w:fill="auto"/>
            <w:noWrap/>
            <w:vAlign w:val="center"/>
            <w:hideMark/>
          </w:tcPr>
          <w:p w:rsidR="009739B6" w:rsidRPr="0041174C" w:rsidRDefault="009739B6" w:rsidP="009739B6">
            <w:pPr>
              <w:spacing w:line="480" w:lineRule="auto"/>
              <w:jc w:val="center"/>
            </w:pPr>
            <w:r w:rsidRPr="0041174C">
              <w:t>0</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8</w:t>
            </w:r>
          </w:p>
        </w:tc>
        <w:tc>
          <w:tcPr>
            <w:tcW w:w="0" w:type="dxa"/>
            <w:shd w:val="clear" w:color="auto" w:fill="auto"/>
            <w:noWrap/>
            <w:vAlign w:val="center"/>
            <w:hideMark/>
          </w:tcPr>
          <w:p w:rsidR="009739B6" w:rsidRPr="0041174C" w:rsidRDefault="009739B6" w:rsidP="009739B6">
            <w:pPr>
              <w:spacing w:line="480" w:lineRule="auto"/>
              <w:jc w:val="center"/>
            </w:pP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3</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8</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2</w:t>
            </w:r>
            <w:r w:rsidR="00A61B59" w:rsidRPr="0041174C">
              <w:t>.</w:t>
            </w: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3</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3</w:t>
            </w:r>
            <w:r w:rsidR="00A61B59" w:rsidRPr="0041174C">
              <w:t>.</w:t>
            </w:r>
            <w:r w:rsidRPr="0041174C">
              <w:t>7</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3</w:t>
            </w:r>
            <w:r w:rsidR="00A61B59" w:rsidRPr="0041174C">
              <w:t>.</w:t>
            </w:r>
            <w:r w:rsidRPr="0041174C">
              <w:t>1</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7</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8</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10</w:t>
            </w:r>
          </w:p>
        </w:tc>
        <w:tc>
          <w:tcPr>
            <w:tcW w:w="0" w:type="dxa"/>
            <w:shd w:val="clear" w:color="auto" w:fill="auto"/>
            <w:noWrap/>
            <w:vAlign w:val="center"/>
            <w:hideMark/>
          </w:tcPr>
          <w:p w:rsidR="009739B6" w:rsidRPr="0041174C" w:rsidRDefault="009739B6" w:rsidP="009739B6">
            <w:pPr>
              <w:spacing w:line="480" w:lineRule="auto"/>
              <w:jc w:val="center"/>
            </w:pP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8</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50</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2</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11</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6</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1</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12</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3</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0</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0</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13</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7</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2</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14</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2</w:t>
            </w:r>
            <w:r w:rsidR="00A61B59" w:rsidRPr="0041174C">
              <w:t>.</w:t>
            </w:r>
            <w:r w:rsidRPr="0041174C">
              <w:t>1</w:t>
            </w:r>
          </w:p>
        </w:tc>
        <w:tc>
          <w:tcPr>
            <w:tcW w:w="0" w:type="dxa"/>
            <w:shd w:val="clear" w:color="auto" w:fill="auto"/>
            <w:noWrap/>
            <w:vAlign w:val="center"/>
            <w:hideMark/>
          </w:tcPr>
          <w:p w:rsidR="009739B6" w:rsidRPr="0041174C" w:rsidRDefault="009739B6" w:rsidP="009739B6">
            <w:pPr>
              <w:spacing w:line="480" w:lineRule="auto"/>
              <w:jc w:val="center"/>
            </w:pPr>
            <w:r w:rsidRPr="0041174C">
              <w:t>2</w:t>
            </w:r>
            <w:r w:rsidR="00A61B59" w:rsidRPr="0041174C">
              <w:t>.</w:t>
            </w:r>
            <w:r w:rsidRPr="0041174C">
              <w:t>3</w:t>
            </w:r>
          </w:p>
        </w:tc>
      </w:tr>
      <w:tr w:rsidR="009739B6" w:rsidRPr="0041174C" w:rsidTr="0041174C">
        <w:trPr>
          <w:cantSplit/>
          <w:trHeight w:val="144"/>
        </w:trPr>
        <w:tc>
          <w:tcPr>
            <w:tcW w:w="0" w:type="dxa"/>
            <w:shd w:val="clear" w:color="auto" w:fill="auto"/>
            <w:noWrap/>
            <w:vAlign w:val="center"/>
            <w:hideMark/>
          </w:tcPr>
          <w:p w:rsidR="009739B6" w:rsidRPr="0041174C" w:rsidRDefault="009739B6" w:rsidP="009739B6">
            <w:pPr>
              <w:spacing w:line="480" w:lineRule="auto"/>
              <w:jc w:val="center"/>
            </w:pPr>
            <w:r w:rsidRPr="0041174C">
              <w:t>15</w:t>
            </w:r>
          </w:p>
        </w:tc>
        <w:tc>
          <w:tcPr>
            <w:tcW w:w="0" w:type="dxa"/>
            <w:shd w:val="clear" w:color="auto" w:fill="auto"/>
            <w:noWrap/>
            <w:vAlign w:val="center"/>
            <w:hideMark/>
          </w:tcPr>
          <w:p w:rsidR="009739B6" w:rsidRPr="0041174C" w:rsidRDefault="009739B6" w:rsidP="009739B6">
            <w:pPr>
              <w:spacing w:line="480" w:lineRule="auto"/>
              <w:jc w:val="center"/>
            </w:pPr>
            <w:r w:rsidRPr="0041174C">
              <w:t>0</w:t>
            </w:r>
            <w:r w:rsidR="00A61B59" w:rsidRPr="0041174C">
              <w:t>.</w:t>
            </w:r>
            <w:r w:rsidRPr="0041174C">
              <w:t>9</w:t>
            </w:r>
          </w:p>
        </w:tc>
        <w:tc>
          <w:tcPr>
            <w:tcW w:w="0" w:type="dxa"/>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4</w:t>
            </w:r>
          </w:p>
        </w:tc>
        <w:tc>
          <w:tcPr>
            <w:tcW w:w="0" w:type="dxa"/>
            <w:shd w:val="clear" w:color="auto" w:fill="auto"/>
            <w:noWrap/>
            <w:vAlign w:val="center"/>
            <w:hideMark/>
          </w:tcPr>
          <w:p w:rsidR="009739B6" w:rsidRPr="0041174C" w:rsidRDefault="009739B6" w:rsidP="009739B6">
            <w:pPr>
              <w:spacing w:line="480" w:lineRule="auto"/>
              <w:jc w:val="center"/>
            </w:pPr>
            <w:r w:rsidRPr="0041174C">
              <w:t>2</w:t>
            </w:r>
            <w:r w:rsidR="00A61B59" w:rsidRPr="0041174C">
              <w:t>.</w:t>
            </w:r>
            <w:r w:rsidRPr="0041174C">
              <w:t>2</w:t>
            </w:r>
          </w:p>
        </w:tc>
        <w:tc>
          <w:tcPr>
            <w:tcW w:w="0" w:type="dxa"/>
            <w:shd w:val="clear" w:color="auto" w:fill="auto"/>
            <w:noWrap/>
            <w:vAlign w:val="center"/>
            <w:hideMark/>
          </w:tcPr>
          <w:p w:rsidR="009739B6" w:rsidRPr="0041174C" w:rsidRDefault="009739B6" w:rsidP="009739B6">
            <w:pPr>
              <w:spacing w:line="480" w:lineRule="auto"/>
              <w:jc w:val="center"/>
            </w:pPr>
            <w:r w:rsidRPr="0041174C">
              <w:t>4</w:t>
            </w:r>
            <w:r w:rsidR="00A61B59" w:rsidRPr="0041174C">
              <w:t>.</w:t>
            </w:r>
            <w:r w:rsidRPr="0041174C">
              <w:t>5</w:t>
            </w:r>
          </w:p>
        </w:tc>
        <w:tc>
          <w:tcPr>
            <w:tcW w:w="0" w:type="dxa"/>
            <w:shd w:val="clear" w:color="auto" w:fill="auto"/>
            <w:noWrap/>
            <w:vAlign w:val="center"/>
            <w:hideMark/>
          </w:tcPr>
          <w:p w:rsidR="009739B6" w:rsidRPr="0041174C" w:rsidRDefault="009739B6" w:rsidP="009739B6">
            <w:pPr>
              <w:spacing w:line="480" w:lineRule="auto"/>
              <w:jc w:val="center"/>
            </w:pPr>
            <w:r w:rsidRPr="0041174C">
              <w:t>6</w:t>
            </w:r>
            <w:r w:rsidR="00A61B59" w:rsidRPr="0041174C">
              <w:t>.</w:t>
            </w:r>
            <w:r w:rsidRPr="0041174C">
              <w:t>7</w:t>
            </w:r>
          </w:p>
        </w:tc>
        <w:tc>
          <w:tcPr>
            <w:tcW w:w="0" w:type="dxa"/>
            <w:shd w:val="clear" w:color="auto" w:fill="auto"/>
            <w:noWrap/>
            <w:vAlign w:val="center"/>
            <w:hideMark/>
          </w:tcPr>
          <w:p w:rsidR="009739B6" w:rsidRPr="0041174C" w:rsidRDefault="009739B6" w:rsidP="009739B6">
            <w:pPr>
              <w:spacing w:line="480" w:lineRule="auto"/>
              <w:jc w:val="center"/>
            </w:pPr>
            <w:r w:rsidRPr="0041174C">
              <w:t>5</w:t>
            </w:r>
            <w:r w:rsidR="00A61B59" w:rsidRPr="0041174C">
              <w:t>.</w:t>
            </w:r>
            <w:r w:rsidRPr="0041174C">
              <w:t>8</w:t>
            </w:r>
          </w:p>
        </w:tc>
      </w:tr>
      <w:tr w:rsidR="009739B6" w:rsidRPr="0041174C" w:rsidTr="0041174C">
        <w:trPr>
          <w:cantSplit/>
          <w:trHeight w:val="144"/>
        </w:trPr>
        <w:tc>
          <w:tcPr>
            <w:tcW w:w="0" w:type="dxa"/>
            <w:tcBorders>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lastRenderedPageBreak/>
              <w:t>16</w:t>
            </w:r>
          </w:p>
        </w:tc>
        <w:tc>
          <w:tcPr>
            <w:tcW w:w="0" w:type="dxa"/>
            <w:tcBorders>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1</w:t>
            </w:r>
            <w:r w:rsidR="00A61B59" w:rsidRPr="0041174C">
              <w:t>.</w:t>
            </w:r>
            <w:r w:rsidRPr="0041174C">
              <w:t>7</w:t>
            </w:r>
          </w:p>
        </w:tc>
        <w:tc>
          <w:tcPr>
            <w:tcW w:w="0" w:type="dxa"/>
            <w:tcBorders>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4</w:t>
            </w:r>
          </w:p>
        </w:tc>
        <w:tc>
          <w:tcPr>
            <w:tcW w:w="0" w:type="dxa"/>
            <w:tcBorders>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5</w:t>
            </w:r>
            <w:r w:rsidR="00A61B59" w:rsidRPr="0041174C">
              <w:t>.</w:t>
            </w:r>
            <w:r w:rsidRPr="0041174C">
              <w:t>1</w:t>
            </w:r>
          </w:p>
        </w:tc>
        <w:tc>
          <w:tcPr>
            <w:tcW w:w="0" w:type="dxa"/>
            <w:tcBorders>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5</w:t>
            </w:r>
            <w:r w:rsidR="00A61B59" w:rsidRPr="0041174C">
              <w:t>.</w:t>
            </w:r>
            <w:r w:rsidRPr="0041174C">
              <w:t>1</w:t>
            </w:r>
          </w:p>
        </w:tc>
        <w:tc>
          <w:tcPr>
            <w:tcW w:w="0" w:type="dxa"/>
            <w:tcBorders>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4</w:t>
            </w:r>
            <w:r w:rsidR="00A61B59" w:rsidRPr="0041174C">
              <w:t>.</w:t>
            </w:r>
            <w:r w:rsidRPr="0041174C">
              <w:t>8</w:t>
            </w:r>
          </w:p>
        </w:tc>
        <w:tc>
          <w:tcPr>
            <w:tcW w:w="0" w:type="dxa"/>
            <w:tcBorders>
              <w:bottom w:val="single" w:sz="4" w:space="0" w:color="auto"/>
            </w:tcBorders>
            <w:shd w:val="clear" w:color="auto" w:fill="auto"/>
            <w:noWrap/>
            <w:vAlign w:val="center"/>
            <w:hideMark/>
          </w:tcPr>
          <w:p w:rsidR="009739B6" w:rsidRPr="0041174C" w:rsidRDefault="009739B6" w:rsidP="009739B6">
            <w:pPr>
              <w:spacing w:line="480" w:lineRule="auto"/>
              <w:jc w:val="center"/>
            </w:pPr>
            <w:r w:rsidRPr="0041174C">
              <w:t>1</w:t>
            </w:r>
          </w:p>
        </w:tc>
      </w:tr>
    </w:tbl>
    <w:p w:rsidR="009739B6" w:rsidRPr="0091214D" w:rsidRDefault="009739B6" w:rsidP="009739B6">
      <w:pPr>
        <w:spacing w:line="480" w:lineRule="auto"/>
        <w:rPr>
          <w:rFonts w:ascii="Arial" w:hAnsi="Arial" w:cs="Arial"/>
          <w:color w:val="000000" w:themeColor="text1"/>
          <w:sz w:val="24"/>
          <w:szCs w:val="24"/>
          <w:lang w:val="en-US"/>
        </w:rPr>
      </w:pPr>
    </w:p>
    <w:p w:rsidR="0056154D" w:rsidRPr="0091214D" w:rsidRDefault="0056154D" w:rsidP="009739B6">
      <w:pPr>
        <w:spacing w:line="480" w:lineRule="auto"/>
        <w:rPr>
          <w:rFonts w:ascii="Arial" w:hAnsi="Arial" w:cs="Arial"/>
          <w:color w:val="000000" w:themeColor="text1"/>
          <w:sz w:val="24"/>
          <w:szCs w:val="24"/>
          <w:lang w:val="en-US"/>
        </w:rPr>
        <w:sectPr w:rsidR="0056154D" w:rsidRPr="0091214D" w:rsidSect="00075BF3">
          <w:pgSz w:w="11906" w:h="16838"/>
          <w:pgMar w:top="1418" w:right="1418" w:bottom="1418" w:left="1418" w:header="709" w:footer="709" w:gutter="0"/>
          <w:pgNumType w:start="1"/>
          <w:cols w:space="708"/>
          <w:titlePg/>
          <w:docGrid w:linePitch="360"/>
        </w:sectPr>
      </w:pPr>
    </w:p>
    <w:p w:rsidR="0073488D" w:rsidRPr="0091214D" w:rsidRDefault="0073488D" w:rsidP="009739B6">
      <w:pPr>
        <w:spacing w:line="480" w:lineRule="auto"/>
        <w:rPr>
          <w:rFonts w:ascii="Arial" w:hAnsi="Arial" w:cs="Arial"/>
          <w:color w:val="000000" w:themeColor="text1"/>
          <w:sz w:val="24"/>
          <w:szCs w:val="24"/>
          <w:lang w:val="en-US"/>
        </w:rPr>
      </w:pPr>
      <w:r w:rsidRPr="0091214D">
        <w:rPr>
          <w:rFonts w:ascii="Arial" w:hAnsi="Arial" w:cs="Arial"/>
          <w:color w:val="000000" w:themeColor="text1"/>
          <w:sz w:val="24"/>
          <w:szCs w:val="24"/>
          <w:lang w:val="en-US"/>
        </w:rPr>
        <w:lastRenderedPageBreak/>
        <w:t>REFERENCES</w:t>
      </w:r>
    </w:p>
    <w:p w:rsidR="0073488D" w:rsidRPr="0091214D" w:rsidRDefault="0073488D" w:rsidP="009739B6">
      <w:pPr>
        <w:spacing w:line="480" w:lineRule="auto"/>
        <w:rPr>
          <w:rFonts w:ascii="Arial" w:hAnsi="Arial" w:cs="Arial"/>
          <w:color w:val="000000" w:themeColor="text1"/>
          <w:sz w:val="24"/>
          <w:szCs w:val="24"/>
          <w:lang w:val="en-US"/>
        </w:rPr>
      </w:pPr>
    </w:p>
    <w:p w:rsidR="006205E8" w:rsidRPr="006205E8" w:rsidRDefault="002F0453" w:rsidP="006205E8">
      <w:pPr>
        <w:pStyle w:val="Bibliographie2"/>
        <w:rPr>
          <w:color w:val="000000"/>
        </w:rPr>
      </w:pPr>
      <w:r w:rsidRPr="002F0453">
        <w:fldChar w:fldCharType="begin"/>
      </w:r>
      <w:r w:rsidR="006205E8">
        <w:instrText xml:space="preserve"> ADDIN ZOTERO_BIBL {"custom":[]} CSL_BIBLIOGRAPHY </w:instrText>
      </w:r>
      <w:r w:rsidRPr="002F0453">
        <w:fldChar w:fldCharType="separate"/>
      </w:r>
      <w:r w:rsidR="006205E8" w:rsidRPr="006205E8">
        <w:rPr>
          <w:color w:val="000000"/>
        </w:rPr>
        <w:t xml:space="preserve">1. Boles JM, Bion J, Connors A, Herridge M, Marsh B, Melot C, et al. Weaning from mechanical ventilation. European Respiratory Journal. 2007;29:1033–56. </w:t>
      </w:r>
    </w:p>
    <w:p w:rsidR="006205E8" w:rsidRPr="006205E8" w:rsidRDefault="006205E8" w:rsidP="006205E8">
      <w:pPr>
        <w:pStyle w:val="Bibliographie2"/>
        <w:rPr>
          <w:color w:val="000000"/>
        </w:rPr>
      </w:pPr>
      <w:r w:rsidRPr="006205E8">
        <w:rPr>
          <w:color w:val="000000"/>
        </w:rPr>
        <w:t xml:space="preserve">2. Baydur A, Behrakis PK, Zin WA, Jaeger M, Milic-Emili J. A simple method for assessing the validity of the esophageal balloon technique. Am. Rev. Respir. Dis. 1982;126:788–91. </w:t>
      </w:r>
    </w:p>
    <w:p w:rsidR="006205E8" w:rsidRPr="006205E8" w:rsidRDefault="006205E8" w:rsidP="006205E8">
      <w:pPr>
        <w:pStyle w:val="Bibliographie2"/>
        <w:rPr>
          <w:color w:val="000000"/>
        </w:rPr>
      </w:pPr>
      <w:r w:rsidRPr="006205E8">
        <w:rPr>
          <w:color w:val="000000"/>
        </w:rPr>
        <w:t xml:space="preserve">3. Mancebo J, Albaladejo P, Touchard D, Bak E, Subirana M, Lemaire F, et al. Airway occlusion pressure to titrate positive end-expiratory pressure in patients with dynamic hyperinflation. Anesthesiology. 2000;93:81–90. </w:t>
      </w:r>
    </w:p>
    <w:p w:rsidR="006205E8" w:rsidRPr="006205E8" w:rsidRDefault="006205E8" w:rsidP="006205E8">
      <w:pPr>
        <w:pStyle w:val="Bibliographie2"/>
        <w:rPr>
          <w:color w:val="000000"/>
        </w:rPr>
      </w:pPr>
      <w:r w:rsidRPr="006205E8">
        <w:rPr>
          <w:color w:val="000000"/>
        </w:rPr>
        <w:t xml:space="preserve">4. Lessard MR, Lofaso F, Brochard L. Expiratory muscle activity increases intrinsic positive end-expiratory pressure independently of dynamic hyperinflation in mechanically ventilated patients. Am. J. Respir. Crit. Care Med. 1995;151:562–9. </w:t>
      </w:r>
    </w:p>
    <w:p w:rsidR="006205E8" w:rsidRPr="006205E8" w:rsidRDefault="006205E8" w:rsidP="006205E8">
      <w:pPr>
        <w:pStyle w:val="Bibliographie2"/>
        <w:rPr>
          <w:color w:val="000000"/>
        </w:rPr>
      </w:pPr>
      <w:r w:rsidRPr="006205E8">
        <w:rPr>
          <w:color w:val="000000"/>
        </w:rPr>
        <w:t xml:space="preserve">5. Vitacca M, Ambrosino N, Clini E, Porta R, Rampulla C, Lanini B, et al. Physiological response to pressure support ventilation delivered before and after extubation in patients not capable of totally spontaneous autonomous breathing. Am. J. Respir. Crit. Care Med. 2001;164:638–41. </w:t>
      </w:r>
    </w:p>
    <w:p w:rsidR="006205E8" w:rsidRPr="006205E8" w:rsidRDefault="006205E8" w:rsidP="006205E8">
      <w:pPr>
        <w:pStyle w:val="Bibliographie2"/>
        <w:rPr>
          <w:color w:val="000000"/>
        </w:rPr>
      </w:pPr>
      <w:r w:rsidRPr="006205E8">
        <w:rPr>
          <w:color w:val="000000"/>
        </w:rPr>
        <w:t xml:space="preserve">6. Jaber S, Sebbane M, Verzilli D, Matecki S, Wysocki M, Eledjam J-J, et al. Adaptive support and pressure support ventilation behavior in response to increased ventilatory demand. Anesthesiology. 2009;110:620–7. </w:t>
      </w:r>
    </w:p>
    <w:p w:rsidR="006205E8" w:rsidRPr="006205E8" w:rsidRDefault="006205E8" w:rsidP="006205E8">
      <w:pPr>
        <w:pStyle w:val="Bibliographie2"/>
        <w:rPr>
          <w:color w:val="000000"/>
        </w:rPr>
      </w:pPr>
      <w:r w:rsidRPr="006205E8">
        <w:rPr>
          <w:color w:val="000000"/>
        </w:rPr>
        <w:t xml:space="preserve">7. Brochard L, Rua F, Lorino H, Lemaire F, Harf A. Inspiratory pressure support compensates for the additional work of breathing caused by the endotracheal tube. Anesthesiology. 1991;75:739–45. </w:t>
      </w:r>
    </w:p>
    <w:p w:rsidR="006205E8" w:rsidRPr="006205E8" w:rsidRDefault="006205E8" w:rsidP="006205E8">
      <w:pPr>
        <w:pStyle w:val="Bibliographie2"/>
        <w:rPr>
          <w:color w:val="000000"/>
        </w:rPr>
      </w:pPr>
      <w:r w:rsidRPr="006205E8">
        <w:rPr>
          <w:color w:val="000000"/>
        </w:rPr>
        <w:t xml:space="preserve">8. Sassoon CS, Light RW, Lodia R, Sieck GC, Mahutte CK. Pressure-time product during continuous positive airway pressure, pressure support ventilation, and T-piece during weaning from mechanical ventilation. Am. Rev. Respir. Dis. 1991;143:469–75. </w:t>
      </w:r>
    </w:p>
    <w:p w:rsidR="006205E8" w:rsidRPr="006205E8" w:rsidRDefault="006205E8" w:rsidP="006205E8">
      <w:pPr>
        <w:pStyle w:val="Bibliographie2"/>
        <w:rPr>
          <w:color w:val="000000"/>
        </w:rPr>
      </w:pPr>
      <w:r w:rsidRPr="006205E8">
        <w:rPr>
          <w:color w:val="000000"/>
        </w:rPr>
        <w:t xml:space="preserve">9. Jaber S, Carlucci A, Boussarsar M, Fodil R, Pigeot J, Maggiore S, et al. Helium-oxygen in the postextubation period decreases inspiratory effort. Am. J. Respir. Crit. Care Med. 2001;164:633–7. </w:t>
      </w:r>
    </w:p>
    <w:p w:rsidR="006205E8" w:rsidRPr="006205E8" w:rsidRDefault="006205E8" w:rsidP="006205E8">
      <w:pPr>
        <w:pStyle w:val="Bibliographie2"/>
        <w:rPr>
          <w:color w:val="000000"/>
        </w:rPr>
      </w:pPr>
      <w:r w:rsidRPr="006205E8">
        <w:rPr>
          <w:color w:val="000000"/>
        </w:rPr>
        <w:t xml:space="preserve">10. Straus C, Louis B, Isabey D, Lemaire F, Harf A, Brochard L. Contribution of the endotracheal tube and the upper airway to breathing workload. Am. J. Respir. Crit. Care Med. 1998;157:23–30. </w:t>
      </w:r>
    </w:p>
    <w:p w:rsidR="006205E8" w:rsidRPr="006205E8" w:rsidRDefault="006205E8" w:rsidP="006205E8">
      <w:pPr>
        <w:pStyle w:val="Bibliographie2"/>
        <w:rPr>
          <w:color w:val="000000"/>
        </w:rPr>
      </w:pPr>
      <w:r w:rsidRPr="006205E8">
        <w:rPr>
          <w:color w:val="000000"/>
        </w:rPr>
        <w:t xml:space="preserve">11. Mehta S, Nelson DL, Klinger JR, Buczko GB, Levy MM. Prediction of post-extubation work of breathing. Crit. Care Med. 2000;28:1341–6. </w:t>
      </w:r>
    </w:p>
    <w:p w:rsidR="00D61812" w:rsidRPr="0091214D" w:rsidRDefault="002F0453" w:rsidP="009739B6">
      <w:pPr>
        <w:spacing w:line="480" w:lineRule="auto"/>
        <w:rPr>
          <w:rFonts w:ascii="Arial" w:hAnsi="Arial" w:cs="Arial"/>
          <w:color w:val="000000" w:themeColor="text1"/>
          <w:sz w:val="24"/>
          <w:szCs w:val="24"/>
        </w:rPr>
      </w:pPr>
      <w:r w:rsidRPr="0091214D">
        <w:rPr>
          <w:rFonts w:ascii="Arial" w:hAnsi="Arial" w:cs="Arial"/>
          <w:color w:val="000000" w:themeColor="text1"/>
          <w:sz w:val="24"/>
          <w:szCs w:val="24"/>
        </w:rPr>
        <w:fldChar w:fldCharType="end"/>
      </w:r>
    </w:p>
    <w:sectPr w:rsidR="00D61812" w:rsidRPr="0091214D" w:rsidSect="00075BF3">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DBF" w:rsidRDefault="00825DBF">
      <w:pPr>
        <w:spacing w:after="0" w:line="240" w:lineRule="auto"/>
      </w:pPr>
      <w:r>
        <w:separator/>
      </w:r>
    </w:p>
  </w:endnote>
  <w:endnote w:type="continuationSeparator" w:id="0">
    <w:p w:rsidR="00825DBF" w:rsidRDefault="00825D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altName w:val="MS Mincho"/>
    <w:charset w:val="4E"/>
    <w:family w:val="auto"/>
    <w:pitch w:val="variable"/>
    <w:sig w:usb0="00000000"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ＭＳ ゴシック">
    <w:altName w:val="MS Mincho"/>
    <w:charset w:val="4E"/>
    <w:family w:val="auto"/>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426" w:rsidRDefault="002F0453">
    <w:pPr>
      <w:pStyle w:val="Footer"/>
      <w:jc w:val="right"/>
    </w:pPr>
    <w:r>
      <w:fldChar w:fldCharType="begin"/>
    </w:r>
    <w:r w:rsidR="00EE6426">
      <w:instrText xml:space="preserve"> PAGE   \* MERGEFORMAT </w:instrText>
    </w:r>
    <w:r>
      <w:fldChar w:fldCharType="separate"/>
    </w:r>
    <w:r w:rsidR="0041174C">
      <w:rPr>
        <w:noProof/>
      </w:rPr>
      <w:t>2</w:t>
    </w:r>
    <w:r>
      <w:rPr>
        <w:noProof/>
      </w:rPr>
      <w:fldChar w:fldCharType="end"/>
    </w:r>
  </w:p>
  <w:p w:rsidR="00EE6426" w:rsidRDefault="00EE64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DBF" w:rsidRDefault="00825DBF">
      <w:pPr>
        <w:spacing w:after="0" w:line="240" w:lineRule="auto"/>
      </w:pPr>
      <w:r>
        <w:separator/>
      </w:r>
    </w:p>
  </w:footnote>
  <w:footnote w:type="continuationSeparator" w:id="0">
    <w:p w:rsidR="00825DBF" w:rsidRDefault="00825D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73488D"/>
    <w:rsid w:val="000436CF"/>
    <w:rsid w:val="00051582"/>
    <w:rsid w:val="00075BF3"/>
    <w:rsid w:val="00083941"/>
    <w:rsid w:val="000E007F"/>
    <w:rsid w:val="00104028"/>
    <w:rsid w:val="00240B95"/>
    <w:rsid w:val="002729A4"/>
    <w:rsid w:val="002F0453"/>
    <w:rsid w:val="00392198"/>
    <w:rsid w:val="003B5C90"/>
    <w:rsid w:val="00404B13"/>
    <w:rsid w:val="0041174C"/>
    <w:rsid w:val="005375D0"/>
    <w:rsid w:val="0056154D"/>
    <w:rsid w:val="00592667"/>
    <w:rsid w:val="005B6C54"/>
    <w:rsid w:val="005C0EDD"/>
    <w:rsid w:val="005E7B6A"/>
    <w:rsid w:val="006205E8"/>
    <w:rsid w:val="00721433"/>
    <w:rsid w:val="0073488D"/>
    <w:rsid w:val="00740F74"/>
    <w:rsid w:val="00784F54"/>
    <w:rsid w:val="00793560"/>
    <w:rsid w:val="0079721C"/>
    <w:rsid w:val="00825DBF"/>
    <w:rsid w:val="00867E50"/>
    <w:rsid w:val="0091214D"/>
    <w:rsid w:val="00920DA1"/>
    <w:rsid w:val="00946FDA"/>
    <w:rsid w:val="009739B6"/>
    <w:rsid w:val="00A46F9F"/>
    <w:rsid w:val="00A61B59"/>
    <w:rsid w:val="00AA3B5E"/>
    <w:rsid w:val="00AA665E"/>
    <w:rsid w:val="00AD3A0B"/>
    <w:rsid w:val="00AF760E"/>
    <w:rsid w:val="00BB7017"/>
    <w:rsid w:val="00C0363B"/>
    <w:rsid w:val="00C410F5"/>
    <w:rsid w:val="00C61998"/>
    <w:rsid w:val="00CB410A"/>
    <w:rsid w:val="00D61812"/>
    <w:rsid w:val="00D86848"/>
    <w:rsid w:val="00E569DF"/>
    <w:rsid w:val="00E96862"/>
    <w:rsid w:val="00EE6426"/>
    <w:rsid w:val="00FA20CF"/>
    <w:rsid w:val="00FD2A43"/>
    <w:rsid w:val="00FE15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88D"/>
    <w:pPr>
      <w:spacing w:after="200" w:line="276" w:lineRule="auto"/>
    </w:pPr>
    <w:rPr>
      <w:rFonts w:ascii="Calibri" w:eastAsia="Calibri" w:hAnsi="Calibri" w:cs="Times New Roman"/>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348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73488D"/>
    <w:rPr>
      <w:rFonts w:ascii="Calibri" w:eastAsia="Calibri" w:hAnsi="Calibri" w:cs="Times New Roman"/>
      <w:sz w:val="22"/>
      <w:szCs w:val="22"/>
      <w:lang w:eastAsia="en-US"/>
    </w:rPr>
  </w:style>
  <w:style w:type="character" w:styleId="Strong">
    <w:name w:val="Strong"/>
    <w:basedOn w:val="DefaultParagraphFont"/>
    <w:uiPriority w:val="99"/>
    <w:qFormat/>
    <w:rsid w:val="00AF760E"/>
    <w:rPr>
      <w:rFonts w:cs="Times New Roman"/>
      <w:b/>
      <w:bCs/>
    </w:rPr>
  </w:style>
  <w:style w:type="paragraph" w:customStyle="1" w:styleId="Bibliographie1">
    <w:name w:val="Bibliographie1"/>
    <w:basedOn w:val="Normal"/>
    <w:rsid w:val="005B6C54"/>
    <w:pPr>
      <w:tabs>
        <w:tab w:val="left" w:pos="380"/>
      </w:tabs>
      <w:spacing w:after="0" w:line="240" w:lineRule="auto"/>
      <w:ind w:left="384" w:hanging="384"/>
    </w:pPr>
  </w:style>
  <w:style w:type="character" w:styleId="CommentReference">
    <w:name w:val="annotation reference"/>
    <w:basedOn w:val="DefaultParagraphFont"/>
    <w:uiPriority w:val="99"/>
    <w:semiHidden/>
    <w:unhideWhenUsed/>
    <w:rsid w:val="00A46F9F"/>
    <w:rPr>
      <w:sz w:val="18"/>
      <w:szCs w:val="18"/>
    </w:rPr>
  </w:style>
  <w:style w:type="paragraph" w:styleId="CommentText">
    <w:name w:val="annotation text"/>
    <w:basedOn w:val="Normal"/>
    <w:link w:val="CommentTextChar"/>
    <w:uiPriority w:val="99"/>
    <w:semiHidden/>
    <w:unhideWhenUsed/>
    <w:rsid w:val="00A46F9F"/>
    <w:pPr>
      <w:spacing w:after="0" w:line="240" w:lineRule="auto"/>
    </w:pPr>
    <w:rPr>
      <w:rFonts w:asciiTheme="minorHAnsi" w:eastAsiaTheme="minorEastAsia" w:hAnsiTheme="minorHAnsi" w:cstheme="minorBidi"/>
      <w:sz w:val="24"/>
      <w:szCs w:val="24"/>
      <w:lang w:eastAsia="fr-FR"/>
    </w:rPr>
  </w:style>
  <w:style w:type="character" w:customStyle="1" w:styleId="CommentTextChar">
    <w:name w:val="Comment Text Char"/>
    <w:basedOn w:val="DefaultParagraphFont"/>
    <w:link w:val="CommentText"/>
    <w:uiPriority w:val="99"/>
    <w:semiHidden/>
    <w:rsid w:val="00A46F9F"/>
  </w:style>
  <w:style w:type="paragraph" w:styleId="BalloonText">
    <w:name w:val="Balloon Text"/>
    <w:basedOn w:val="Normal"/>
    <w:link w:val="BalloonTextChar"/>
    <w:uiPriority w:val="99"/>
    <w:semiHidden/>
    <w:unhideWhenUsed/>
    <w:rsid w:val="00A46F9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46F9F"/>
    <w:rPr>
      <w:rFonts w:ascii="Lucida Grande" w:eastAsia="Calibri" w:hAnsi="Lucida Grande" w:cs="Lucida Grande"/>
      <w:sz w:val="18"/>
      <w:szCs w:val="18"/>
      <w:lang w:eastAsia="en-US"/>
    </w:rPr>
  </w:style>
  <w:style w:type="paragraph" w:styleId="DocumentMap">
    <w:name w:val="Document Map"/>
    <w:basedOn w:val="Normal"/>
    <w:link w:val="DocumentMapChar"/>
    <w:uiPriority w:val="99"/>
    <w:semiHidden/>
    <w:unhideWhenUsed/>
    <w:rsid w:val="00A61B5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61B59"/>
    <w:rPr>
      <w:rFonts w:ascii="Lucida Grande" w:eastAsia="Calibri" w:hAnsi="Lucida Grande" w:cs="Lucida Grande"/>
      <w:lang w:eastAsia="en-US"/>
    </w:rPr>
  </w:style>
  <w:style w:type="paragraph" w:customStyle="1" w:styleId="Bibliographie2">
    <w:name w:val="Bibliographie2"/>
    <w:basedOn w:val="Normal"/>
    <w:rsid w:val="00592667"/>
    <w:pPr>
      <w:spacing w:after="240" w:line="240" w:lineRule="auto"/>
    </w:pPr>
    <w:rPr>
      <w:rFonts w:ascii="Arial" w:hAnsi="Arial" w:cs="Arial"/>
      <w:color w:val="000000" w:themeColor="text1"/>
      <w:sz w:val="24"/>
      <w:szCs w:val="24"/>
      <w:lang w:val="en-US"/>
    </w:rPr>
  </w:style>
  <w:style w:type="character" w:styleId="Hyperlink">
    <w:name w:val="Hyperlink"/>
    <w:basedOn w:val="DefaultParagraphFont"/>
    <w:uiPriority w:val="99"/>
    <w:rsid w:val="00793560"/>
    <w:rPr>
      <w:rFonts w:cs="Times New Roman"/>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488D"/>
    <w:pPr>
      <w:spacing w:after="200" w:line="276" w:lineRule="auto"/>
    </w:pPr>
    <w:rPr>
      <w:rFonts w:ascii="Calibri" w:eastAsia="Calibri" w:hAnsi="Calibri" w:cs="Times New Roman"/>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7348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488D"/>
    <w:rPr>
      <w:rFonts w:ascii="Calibri" w:eastAsia="Calibri" w:hAnsi="Calibri" w:cs="Times New Roman"/>
      <w:sz w:val="22"/>
      <w:szCs w:val="22"/>
      <w:lang w:eastAsia="en-US"/>
    </w:rPr>
  </w:style>
  <w:style w:type="character" w:styleId="lev">
    <w:name w:val="Strong"/>
    <w:basedOn w:val="Policepardfaut"/>
    <w:uiPriority w:val="99"/>
    <w:qFormat/>
    <w:rsid w:val="00AF760E"/>
    <w:rPr>
      <w:rFonts w:cs="Times New Roman"/>
      <w:b/>
      <w:bCs/>
    </w:rPr>
  </w:style>
  <w:style w:type="paragraph" w:customStyle="1" w:styleId="Bibliographie1">
    <w:name w:val="Bibliographie1"/>
    <w:basedOn w:val="Normal"/>
    <w:rsid w:val="005B6C54"/>
    <w:pPr>
      <w:tabs>
        <w:tab w:val="left" w:pos="380"/>
      </w:tabs>
      <w:spacing w:after="0" w:line="240" w:lineRule="auto"/>
      <w:ind w:left="384" w:hanging="384"/>
    </w:pPr>
  </w:style>
  <w:style w:type="character" w:styleId="Marquedannotation">
    <w:name w:val="annotation reference"/>
    <w:basedOn w:val="Policepardfaut"/>
    <w:uiPriority w:val="99"/>
    <w:semiHidden/>
    <w:unhideWhenUsed/>
    <w:rsid w:val="00A46F9F"/>
    <w:rPr>
      <w:sz w:val="18"/>
      <w:szCs w:val="18"/>
    </w:rPr>
  </w:style>
  <w:style w:type="paragraph" w:styleId="Commentaire">
    <w:name w:val="annotation text"/>
    <w:basedOn w:val="Normal"/>
    <w:link w:val="CommentaireCar"/>
    <w:uiPriority w:val="99"/>
    <w:semiHidden/>
    <w:unhideWhenUsed/>
    <w:rsid w:val="00A46F9F"/>
    <w:pPr>
      <w:spacing w:after="0" w:line="240" w:lineRule="auto"/>
    </w:pPr>
    <w:rPr>
      <w:rFonts w:asciiTheme="minorHAnsi" w:eastAsiaTheme="minorEastAsia" w:hAnsiTheme="minorHAnsi" w:cstheme="minorBidi"/>
      <w:sz w:val="24"/>
      <w:szCs w:val="24"/>
      <w:lang w:eastAsia="fr-FR"/>
    </w:rPr>
  </w:style>
  <w:style w:type="character" w:customStyle="1" w:styleId="CommentaireCar">
    <w:name w:val="Commentaire Car"/>
    <w:basedOn w:val="Policepardfaut"/>
    <w:link w:val="Commentaire"/>
    <w:uiPriority w:val="99"/>
    <w:semiHidden/>
    <w:rsid w:val="00A46F9F"/>
  </w:style>
  <w:style w:type="paragraph" w:styleId="Textedebulles">
    <w:name w:val="Balloon Text"/>
    <w:basedOn w:val="Normal"/>
    <w:link w:val="TextedebullesCar"/>
    <w:uiPriority w:val="99"/>
    <w:semiHidden/>
    <w:unhideWhenUsed/>
    <w:rsid w:val="00A46F9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46F9F"/>
    <w:rPr>
      <w:rFonts w:ascii="Lucida Grande" w:eastAsia="Calibri" w:hAnsi="Lucida Grande" w:cs="Lucida Grande"/>
      <w:sz w:val="18"/>
      <w:szCs w:val="18"/>
      <w:lang w:eastAsia="en-US"/>
    </w:rPr>
  </w:style>
  <w:style w:type="paragraph" w:styleId="Explorateurdedocument">
    <w:name w:val="Document Map"/>
    <w:basedOn w:val="Normal"/>
    <w:link w:val="ExplorateurdedocumentCar"/>
    <w:uiPriority w:val="99"/>
    <w:semiHidden/>
    <w:unhideWhenUsed/>
    <w:rsid w:val="00A61B59"/>
    <w:pPr>
      <w:spacing w:after="0" w:line="240" w:lineRule="auto"/>
    </w:pPr>
    <w:rPr>
      <w:rFonts w:ascii="Lucida Grande" w:hAnsi="Lucida Grande" w:cs="Lucida Grande"/>
      <w:sz w:val="24"/>
      <w:szCs w:val="24"/>
    </w:rPr>
  </w:style>
  <w:style w:type="character" w:customStyle="1" w:styleId="ExplorateurdedocumentCar">
    <w:name w:val="Explorateur de document Car"/>
    <w:basedOn w:val="Policepardfaut"/>
    <w:link w:val="Explorateurdedocument"/>
    <w:uiPriority w:val="99"/>
    <w:semiHidden/>
    <w:rsid w:val="00A61B59"/>
    <w:rPr>
      <w:rFonts w:ascii="Lucida Grande" w:eastAsia="Calibri" w:hAnsi="Lucida Grande" w:cs="Lucida Grande"/>
      <w:lang w:eastAsia="en-US"/>
    </w:rPr>
  </w:style>
  <w:style w:type="paragraph" w:customStyle="1" w:styleId="Bibliographie2">
    <w:name w:val="Bibliographie2"/>
    <w:basedOn w:val="Normal"/>
    <w:rsid w:val="00592667"/>
    <w:pPr>
      <w:spacing w:after="240" w:line="240" w:lineRule="auto"/>
    </w:pPr>
    <w:rPr>
      <w:rFonts w:ascii="Arial" w:hAnsi="Arial" w:cs="Arial"/>
      <w:color w:val="000000" w:themeColor="text1"/>
      <w:sz w:val="24"/>
      <w:szCs w:val="24"/>
      <w:lang w:val="en-US"/>
    </w:rPr>
  </w:style>
  <w:style w:type="character" w:styleId="Lienhypertexte">
    <w:name w:val="Hyperlink"/>
    <w:basedOn w:val="Policepardfaut"/>
    <w:uiPriority w:val="99"/>
    <w:rsid w:val="00793560"/>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jaber@chu-montpellier.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FC7F8-FDD6-41E2-9E25-5D3522D6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7037</Words>
  <Characters>40112</Characters>
  <Application>Microsoft Office Word</Application>
  <DocSecurity>0</DocSecurity>
  <Lines>334</Lines>
  <Paragraphs>94</Paragraphs>
  <ScaleCrop>false</ScaleCrop>
  <Company/>
  <LinksUpToDate>false</LinksUpToDate>
  <CharactersWithSpaces>47055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JUNG</dc:creator>
  <cp:keywords/>
  <dc:description/>
  <cp:lastModifiedBy>wdesales</cp:lastModifiedBy>
  <cp:revision>3</cp:revision>
  <dcterms:created xsi:type="dcterms:W3CDTF">2016-07-20T21:45:00Z</dcterms:created>
  <dcterms:modified xsi:type="dcterms:W3CDTF">2016-08-19T19:31:00Z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zotero-version="4.0.29.6"&gt;&lt;session id="hEnZqHsb"/&gt;&lt;style id="http://www.zotero.org/styles/critical-care" hasBibliography="1" bibliographyStyleHasBeenSet="1"/&gt;&lt;prefs&gt;&lt;pref name="fieldType" value="Field"/&gt;&lt;pref name="storeReferences" </vt:lpwstr>
  </property>
  <property fmtid="{D5CDD505-2E9C-101B-9397-08002B2CF9AE}" pid="3" name="ZOTERO_PREF_2">
    <vt:lpwstr>value="true"/&gt;&lt;pref name="automaticJournalAbbreviations" value=""/&gt;&lt;pref name="noteType" value=""/&gt;&lt;/prefs&gt;&lt;/data&gt;</vt:lpwstr>
  </property>
</Properties>
</file>