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5B" w:rsidRPr="00ED0691" w:rsidRDefault="001E2C28" w:rsidP="009E095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Additional file 1</w:t>
      </w:r>
    </w:p>
    <w:p w:rsidR="00ED0691" w:rsidRPr="00ED0691" w:rsidRDefault="00ED0691" w:rsidP="00ED0691">
      <w:pPr>
        <w:spacing w:after="120"/>
        <w:rPr>
          <w:rFonts w:ascii="Arial" w:hAnsi="Arial" w:cs="Arial"/>
          <w:b/>
        </w:rPr>
      </w:pPr>
      <w:r w:rsidRPr="00ED0691">
        <w:rPr>
          <w:rFonts w:ascii="Arial" w:hAnsi="Arial" w:cs="Arial"/>
          <w:b/>
        </w:rPr>
        <w:t xml:space="preserve">Table </w:t>
      </w:r>
      <w:r w:rsidR="001E2C28">
        <w:rPr>
          <w:rFonts w:ascii="Arial" w:hAnsi="Arial" w:cs="Arial"/>
          <w:b/>
        </w:rPr>
        <w:t>S</w:t>
      </w:r>
      <w:r w:rsidRPr="00ED0691">
        <w:rPr>
          <w:rFonts w:ascii="Arial" w:hAnsi="Arial" w:cs="Arial"/>
          <w:b/>
        </w:rPr>
        <w:t xml:space="preserve">1. Definitions of AKI Sub-phenotypes and Unadjusted Relative Risk of Trajectory with Hospital Mortality in Group 1 –Trauma </w:t>
      </w:r>
    </w:p>
    <w:tbl>
      <w:tblPr>
        <w:tblStyle w:val="TableGrid"/>
        <w:tblW w:w="0" w:type="auto"/>
        <w:tblInd w:w="108" w:type="dxa"/>
        <w:tblLook w:val="04A0"/>
      </w:tblPr>
      <w:tblGrid>
        <w:gridCol w:w="1976"/>
        <w:gridCol w:w="3893"/>
        <w:gridCol w:w="1040"/>
        <w:gridCol w:w="1115"/>
        <w:gridCol w:w="1444"/>
      </w:tblGrid>
      <w:tr w:rsidR="00ED0691" w:rsidRPr="00ED0691" w:rsidTr="00E12D7D">
        <w:trPr>
          <w:trHeight w:val="432"/>
        </w:trPr>
        <w:tc>
          <w:tcPr>
            <w:tcW w:w="1976" w:type="dxa"/>
            <w:tcBorders>
              <w:bottom w:val="single" w:sz="4" w:space="0" w:color="auto"/>
            </w:tcBorders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AKI Sub-phenotype</w:t>
            </w:r>
          </w:p>
        </w:tc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Trajectory of SCr Criteria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Dead    n (%)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ED0691">
              <w:rPr>
                <w:rFonts w:ascii="Arial" w:hAnsi="Arial" w:cs="Arial"/>
                <w:b/>
                <w:sz w:val="22"/>
                <w:szCs w:val="22"/>
              </w:rPr>
              <w:t>Alive</w:t>
            </w:r>
            <w:proofErr w:type="gramEnd"/>
            <w:r w:rsidRPr="00ED0691">
              <w:rPr>
                <w:rFonts w:ascii="Arial" w:hAnsi="Arial" w:cs="Arial"/>
                <w:b/>
                <w:sz w:val="22"/>
                <w:szCs w:val="22"/>
              </w:rPr>
              <w:t xml:space="preserve">      n (%)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 xml:space="preserve">RR (95% CI) </w:t>
            </w:r>
          </w:p>
        </w:tc>
      </w:tr>
      <w:tr w:rsidR="00ED0691" w:rsidRPr="00ED0691" w:rsidTr="00E12D7D">
        <w:trPr>
          <w:trHeight w:val="432"/>
        </w:trPr>
        <w:tc>
          <w:tcPr>
            <w:tcW w:w="19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186 (10)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1728 (90)</w:t>
            </w:r>
          </w:p>
        </w:tc>
        <w:tc>
          <w:tcPr>
            <w:tcW w:w="14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0691" w:rsidRPr="00ED0691" w:rsidTr="00E12D7D">
        <w:trPr>
          <w:trHeight w:val="432"/>
        </w:trPr>
        <w:tc>
          <w:tcPr>
            <w:tcW w:w="1976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9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Definition 1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5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4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0691" w:rsidRPr="00ED0691" w:rsidTr="00E12D7D">
        <w:trPr>
          <w:trHeight w:val="288"/>
        </w:trPr>
        <w:tc>
          <w:tcPr>
            <w:tcW w:w="1976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No AKI</w:t>
            </w:r>
          </w:p>
        </w:tc>
        <w:tc>
          <w:tcPr>
            <w:tcW w:w="3893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&lt;0.3 mg/dl change in SCr from creatinine nadir</w:t>
            </w:r>
          </w:p>
        </w:tc>
        <w:tc>
          <w:tcPr>
            <w:tcW w:w="1040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72 (7)</w:t>
            </w:r>
          </w:p>
        </w:tc>
        <w:tc>
          <w:tcPr>
            <w:tcW w:w="1115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965 (93)</w:t>
            </w:r>
          </w:p>
        </w:tc>
        <w:tc>
          <w:tcPr>
            <w:tcW w:w="1444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1.0*</w:t>
            </w:r>
          </w:p>
        </w:tc>
      </w:tr>
      <w:tr w:rsidR="00ED0691" w:rsidRPr="00ED0691" w:rsidTr="00E12D7D">
        <w:trPr>
          <w:trHeight w:val="288"/>
        </w:trPr>
        <w:tc>
          <w:tcPr>
            <w:tcW w:w="1976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Resolving AKI</w:t>
            </w:r>
          </w:p>
        </w:tc>
        <w:tc>
          <w:tcPr>
            <w:tcW w:w="3893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0.3 mg/dl and/or 50% decrease in SCr from maximum in the first 72 hours</w:t>
            </w:r>
          </w:p>
        </w:tc>
        <w:tc>
          <w:tcPr>
            <w:tcW w:w="1040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72 (11)</w:t>
            </w:r>
          </w:p>
        </w:tc>
        <w:tc>
          <w:tcPr>
            <w:tcW w:w="1115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596 (89)</w:t>
            </w:r>
          </w:p>
        </w:tc>
        <w:tc>
          <w:tcPr>
            <w:tcW w:w="1444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1.55      (1.14, 2.12)</w:t>
            </w:r>
          </w:p>
        </w:tc>
      </w:tr>
      <w:tr w:rsidR="00ED0691" w:rsidRPr="00ED0691" w:rsidTr="00E12D7D">
        <w:trPr>
          <w:trHeight w:val="288"/>
        </w:trPr>
        <w:tc>
          <w:tcPr>
            <w:tcW w:w="1976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Non-resolving AKI</w:t>
            </w:r>
          </w:p>
        </w:tc>
        <w:tc>
          <w:tcPr>
            <w:tcW w:w="3893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AKI patients not meeting the definition of resolving</w:t>
            </w:r>
          </w:p>
        </w:tc>
        <w:tc>
          <w:tcPr>
            <w:tcW w:w="1040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42 (20)</w:t>
            </w:r>
          </w:p>
        </w:tc>
        <w:tc>
          <w:tcPr>
            <w:tcW w:w="1115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167 (80)</w:t>
            </w:r>
          </w:p>
        </w:tc>
        <w:tc>
          <w:tcPr>
            <w:tcW w:w="1444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2.89     (2.04, 4.11)</w:t>
            </w:r>
          </w:p>
        </w:tc>
      </w:tr>
      <w:tr w:rsidR="00ED0691" w:rsidRPr="00ED0691" w:rsidTr="00E12D7D">
        <w:trPr>
          <w:trHeight w:val="432"/>
        </w:trPr>
        <w:tc>
          <w:tcPr>
            <w:tcW w:w="1976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9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Definition 2</w:t>
            </w:r>
          </w:p>
        </w:tc>
        <w:tc>
          <w:tcPr>
            <w:tcW w:w="2155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4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691" w:rsidRPr="00ED0691" w:rsidTr="00E12D7D">
        <w:trPr>
          <w:trHeight w:val="288"/>
        </w:trPr>
        <w:tc>
          <w:tcPr>
            <w:tcW w:w="1976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No AKI</w:t>
            </w:r>
          </w:p>
        </w:tc>
        <w:tc>
          <w:tcPr>
            <w:tcW w:w="3893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&lt;0.3 mg/dl change in SCr from creatinine nadir</w:t>
            </w:r>
          </w:p>
        </w:tc>
        <w:tc>
          <w:tcPr>
            <w:tcW w:w="1040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72 (7)</w:t>
            </w:r>
          </w:p>
        </w:tc>
        <w:tc>
          <w:tcPr>
            <w:tcW w:w="1115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965 (93)</w:t>
            </w:r>
          </w:p>
        </w:tc>
        <w:tc>
          <w:tcPr>
            <w:tcW w:w="1444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1.0*</w:t>
            </w:r>
          </w:p>
        </w:tc>
      </w:tr>
      <w:tr w:rsidR="00ED0691" w:rsidRPr="00ED0691" w:rsidTr="00E12D7D">
        <w:trPr>
          <w:trHeight w:val="288"/>
        </w:trPr>
        <w:tc>
          <w:tcPr>
            <w:tcW w:w="1976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Resolving AKI</w:t>
            </w:r>
          </w:p>
        </w:tc>
        <w:tc>
          <w:tcPr>
            <w:tcW w:w="3893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0.3 mg/dl and/or 25% decrease in SCr from maximum in the first 72 hours</w:t>
            </w:r>
          </w:p>
        </w:tc>
        <w:tc>
          <w:tcPr>
            <w:tcW w:w="1040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72 (11)</w:t>
            </w:r>
          </w:p>
        </w:tc>
        <w:tc>
          <w:tcPr>
            <w:tcW w:w="1115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600 (89)</w:t>
            </w:r>
          </w:p>
        </w:tc>
        <w:tc>
          <w:tcPr>
            <w:tcW w:w="1444" w:type="dxa"/>
            <w:vAlign w:val="center"/>
          </w:tcPr>
          <w:p w:rsidR="00ED0691" w:rsidRPr="00352D0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352D01">
              <w:rPr>
                <w:rFonts w:ascii="Arial" w:hAnsi="Arial" w:cs="Arial"/>
                <w:sz w:val="22"/>
                <w:szCs w:val="22"/>
              </w:rPr>
              <w:t>1.54    (1.13, 2.11)</w:t>
            </w:r>
          </w:p>
        </w:tc>
      </w:tr>
      <w:tr w:rsidR="00ED0691" w:rsidRPr="00ED0691" w:rsidTr="00E12D7D">
        <w:trPr>
          <w:trHeight w:val="288"/>
        </w:trPr>
        <w:tc>
          <w:tcPr>
            <w:tcW w:w="1976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Non-resolving AKI</w:t>
            </w:r>
          </w:p>
        </w:tc>
        <w:tc>
          <w:tcPr>
            <w:tcW w:w="3893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AKI patients not meeting the definition of resolving</w:t>
            </w:r>
          </w:p>
        </w:tc>
        <w:tc>
          <w:tcPr>
            <w:tcW w:w="1040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42 (20)</w:t>
            </w:r>
          </w:p>
        </w:tc>
        <w:tc>
          <w:tcPr>
            <w:tcW w:w="1115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163 (80)</w:t>
            </w:r>
          </w:p>
        </w:tc>
        <w:tc>
          <w:tcPr>
            <w:tcW w:w="1444" w:type="dxa"/>
            <w:vAlign w:val="center"/>
          </w:tcPr>
          <w:p w:rsidR="00ED0691" w:rsidRPr="00352D0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352D01">
              <w:rPr>
                <w:rFonts w:ascii="Arial" w:hAnsi="Arial" w:cs="Arial"/>
                <w:sz w:val="22"/>
                <w:szCs w:val="22"/>
              </w:rPr>
              <w:t>2.95    (2.08, 4.19)</w:t>
            </w:r>
          </w:p>
        </w:tc>
      </w:tr>
      <w:tr w:rsidR="00ED0691" w:rsidRPr="00ED0691" w:rsidTr="00E12D7D">
        <w:trPr>
          <w:trHeight w:val="432"/>
        </w:trPr>
        <w:tc>
          <w:tcPr>
            <w:tcW w:w="1976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9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Definition 3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9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691" w:rsidRPr="00ED0691" w:rsidTr="00E12D7D">
        <w:trPr>
          <w:trHeight w:val="288"/>
        </w:trPr>
        <w:tc>
          <w:tcPr>
            <w:tcW w:w="1976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No AKI</w:t>
            </w:r>
          </w:p>
        </w:tc>
        <w:tc>
          <w:tcPr>
            <w:tcW w:w="3893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&lt;0.3 mg/dl change in SCr from creatinine nadir</w:t>
            </w:r>
          </w:p>
        </w:tc>
        <w:tc>
          <w:tcPr>
            <w:tcW w:w="1040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72 (7)</w:t>
            </w:r>
          </w:p>
        </w:tc>
        <w:tc>
          <w:tcPr>
            <w:tcW w:w="1115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965 (93)</w:t>
            </w:r>
          </w:p>
        </w:tc>
        <w:tc>
          <w:tcPr>
            <w:tcW w:w="1444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1.0*</w:t>
            </w:r>
          </w:p>
        </w:tc>
      </w:tr>
      <w:tr w:rsidR="00ED0691" w:rsidRPr="00ED0691" w:rsidTr="00E12D7D">
        <w:trPr>
          <w:trHeight w:val="288"/>
        </w:trPr>
        <w:tc>
          <w:tcPr>
            <w:tcW w:w="1976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Resolving AKI</w:t>
            </w:r>
          </w:p>
        </w:tc>
        <w:tc>
          <w:tcPr>
            <w:tcW w:w="3893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0.6 mg/dl and/or 25% decrease in SCr from maximum in the first 72 hours</w:t>
            </w:r>
          </w:p>
        </w:tc>
        <w:tc>
          <w:tcPr>
            <w:tcW w:w="1040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49 (10)</w:t>
            </w:r>
          </w:p>
        </w:tc>
        <w:tc>
          <w:tcPr>
            <w:tcW w:w="1115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466 (90)</w:t>
            </w:r>
          </w:p>
        </w:tc>
        <w:tc>
          <w:tcPr>
            <w:tcW w:w="1444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1.37     (.97, 1.94)</w:t>
            </w:r>
          </w:p>
        </w:tc>
      </w:tr>
      <w:tr w:rsidR="00ED0691" w:rsidRPr="00ED0691" w:rsidTr="00E12D7D">
        <w:trPr>
          <w:trHeight w:val="288"/>
        </w:trPr>
        <w:tc>
          <w:tcPr>
            <w:tcW w:w="1976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Non-resolving AKI</w:t>
            </w:r>
          </w:p>
        </w:tc>
        <w:tc>
          <w:tcPr>
            <w:tcW w:w="3893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AKI patients not meeting the definition of resolving</w:t>
            </w:r>
          </w:p>
        </w:tc>
        <w:tc>
          <w:tcPr>
            <w:tcW w:w="1040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65 (18)</w:t>
            </w:r>
          </w:p>
        </w:tc>
        <w:tc>
          <w:tcPr>
            <w:tcW w:w="1115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297 (82)</w:t>
            </w:r>
          </w:p>
        </w:tc>
        <w:tc>
          <w:tcPr>
            <w:tcW w:w="1444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2.59    (1.89, 3.54)</w:t>
            </w:r>
          </w:p>
        </w:tc>
      </w:tr>
      <w:tr w:rsidR="00ED0691" w:rsidRPr="00ED0691" w:rsidTr="00E12D7D">
        <w:trPr>
          <w:trHeight w:val="432"/>
        </w:trPr>
        <w:tc>
          <w:tcPr>
            <w:tcW w:w="1976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93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Definition 4</w:t>
            </w:r>
          </w:p>
        </w:tc>
        <w:tc>
          <w:tcPr>
            <w:tcW w:w="2155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4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691" w:rsidRPr="00ED0691" w:rsidTr="00E12D7D">
        <w:trPr>
          <w:trHeight w:val="288"/>
        </w:trPr>
        <w:tc>
          <w:tcPr>
            <w:tcW w:w="1976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No AKI</w:t>
            </w:r>
          </w:p>
        </w:tc>
        <w:tc>
          <w:tcPr>
            <w:tcW w:w="3893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&lt;0.3 mg/dl change in SCr from creatinine nadir</w:t>
            </w:r>
          </w:p>
        </w:tc>
        <w:tc>
          <w:tcPr>
            <w:tcW w:w="1040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72 (7)</w:t>
            </w:r>
          </w:p>
        </w:tc>
        <w:tc>
          <w:tcPr>
            <w:tcW w:w="1115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965 (93)</w:t>
            </w:r>
          </w:p>
        </w:tc>
        <w:tc>
          <w:tcPr>
            <w:tcW w:w="1444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1.0 *</w:t>
            </w:r>
          </w:p>
        </w:tc>
      </w:tr>
      <w:tr w:rsidR="00ED0691" w:rsidRPr="00ED0691" w:rsidTr="00E12D7D">
        <w:trPr>
          <w:trHeight w:val="288"/>
        </w:trPr>
        <w:tc>
          <w:tcPr>
            <w:tcW w:w="1976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Resolving AKI</w:t>
            </w:r>
          </w:p>
        </w:tc>
        <w:tc>
          <w:tcPr>
            <w:tcW w:w="3893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0.6 mg/dl and/or 50% decrease in SCr from maximum in the first 72 hours</w:t>
            </w:r>
          </w:p>
        </w:tc>
        <w:tc>
          <w:tcPr>
            <w:tcW w:w="1040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17 (13)</w:t>
            </w:r>
          </w:p>
        </w:tc>
        <w:tc>
          <w:tcPr>
            <w:tcW w:w="1115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114 (87)</w:t>
            </w:r>
          </w:p>
        </w:tc>
        <w:tc>
          <w:tcPr>
            <w:tcW w:w="1444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1.87    (1.14, 3.07)</w:t>
            </w:r>
          </w:p>
        </w:tc>
      </w:tr>
      <w:tr w:rsidR="00ED0691" w:rsidRPr="00ED0691" w:rsidTr="00E12D7D">
        <w:trPr>
          <w:trHeight w:val="288"/>
        </w:trPr>
        <w:tc>
          <w:tcPr>
            <w:tcW w:w="1976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Non-resolving AKI</w:t>
            </w:r>
          </w:p>
        </w:tc>
        <w:tc>
          <w:tcPr>
            <w:tcW w:w="3893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AKI patients not meeting the definition of resolving</w:t>
            </w:r>
          </w:p>
        </w:tc>
        <w:tc>
          <w:tcPr>
            <w:tcW w:w="1040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97 (13)</w:t>
            </w:r>
          </w:p>
        </w:tc>
        <w:tc>
          <w:tcPr>
            <w:tcW w:w="1115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649 (87)</w:t>
            </w:r>
          </w:p>
        </w:tc>
        <w:tc>
          <w:tcPr>
            <w:tcW w:w="1444" w:type="dxa"/>
            <w:vAlign w:val="center"/>
          </w:tcPr>
          <w:p w:rsidR="00ED0691" w:rsidRPr="00ED0691" w:rsidRDefault="00ED0691" w:rsidP="00E12D7D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 xml:space="preserve">1.87   (1.40, 2.50) </w:t>
            </w:r>
          </w:p>
        </w:tc>
      </w:tr>
    </w:tbl>
    <w:p w:rsidR="00ED0691" w:rsidRPr="00ED0691" w:rsidRDefault="00ED0691" w:rsidP="00ED0691">
      <w:pPr>
        <w:spacing w:after="0" w:line="240" w:lineRule="auto"/>
        <w:rPr>
          <w:rFonts w:ascii="Arial" w:hAnsi="Arial" w:cs="Arial"/>
          <w:b/>
          <w:u w:val="single"/>
        </w:rPr>
      </w:pPr>
    </w:p>
    <w:p w:rsidR="00ED0691" w:rsidRPr="00ED0691" w:rsidRDefault="00ED0691" w:rsidP="00ED0691">
      <w:pPr>
        <w:spacing w:after="0" w:line="240" w:lineRule="auto"/>
        <w:rPr>
          <w:rFonts w:ascii="Arial" w:hAnsi="Arial" w:cs="Arial"/>
        </w:rPr>
      </w:pPr>
      <w:r w:rsidRPr="00ED0691">
        <w:rPr>
          <w:rFonts w:ascii="Arial" w:hAnsi="Arial" w:cs="Arial"/>
        </w:rPr>
        <w:t xml:space="preserve">* No AKI used as the reference </w:t>
      </w:r>
    </w:p>
    <w:p w:rsidR="00ED0691" w:rsidRPr="00ED0691" w:rsidRDefault="00ED0691" w:rsidP="00111658">
      <w:pPr>
        <w:spacing w:after="120"/>
        <w:rPr>
          <w:rFonts w:ascii="Arial" w:hAnsi="Arial" w:cs="Arial"/>
          <w:b/>
        </w:rPr>
      </w:pPr>
    </w:p>
    <w:p w:rsidR="00ED0691" w:rsidRDefault="00ED0691" w:rsidP="00111658">
      <w:pPr>
        <w:spacing w:after="120"/>
        <w:rPr>
          <w:rFonts w:ascii="Arial" w:hAnsi="Arial" w:cs="Arial"/>
          <w:b/>
        </w:rPr>
      </w:pPr>
    </w:p>
    <w:p w:rsidR="00ED0691" w:rsidRDefault="00ED0691" w:rsidP="00111658">
      <w:pPr>
        <w:spacing w:after="120"/>
        <w:rPr>
          <w:rFonts w:ascii="Arial" w:hAnsi="Arial" w:cs="Arial"/>
          <w:b/>
        </w:rPr>
      </w:pPr>
    </w:p>
    <w:p w:rsidR="00ED0691" w:rsidRPr="00ED0691" w:rsidRDefault="00ED0691" w:rsidP="00111658">
      <w:pPr>
        <w:spacing w:after="120"/>
        <w:rPr>
          <w:rFonts w:ascii="Arial" w:hAnsi="Arial" w:cs="Arial"/>
          <w:b/>
        </w:rPr>
      </w:pPr>
    </w:p>
    <w:p w:rsidR="00ED0691" w:rsidRPr="00ED0691" w:rsidRDefault="00ED0691" w:rsidP="00111658">
      <w:pPr>
        <w:spacing w:after="120"/>
        <w:rPr>
          <w:rFonts w:ascii="Arial" w:hAnsi="Arial" w:cs="Arial"/>
          <w:b/>
        </w:rPr>
      </w:pPr>
    </w:p>
    <w:p w:rsidR="00CF3883" w:rsidRPr="00ED0691" w:rsidRDefault="00ED0691" w:rsidP="00111658">
      <w:pPr>
        <w:spacing w:after="120"/>
        <w:rPr>
          <w:rFonts w:ascii="Arial" w:hAnsi="Arial" w:cs="Arial"/>
        </w:rPr>
      </w:pPr>
      <w:r w:rsidRPr="00ED0691">
        <w:rPr>
          <w:rFonts w:ascii="Arial" w:hAnsi="Arial" w:cs="Arial"/>
          <w:b/>
        </w:rPr>
        <w:lastRenderedPageBreak/>
        <w:t xml:space="preserve">Table </w:t>
      </w:r>
      <w:proofErr w:type="spellStart"/>
      <w:r w:rsidR="00392B48">
        <w:rPr>
          <w:rFonts w:ascii="Arial" w:hAnsi="Arial" w:cs="Arial"/>
          <w:b/>
        </w:rPr>
        <w:t>S</w:t>
      </w:r>
      <w:r w:rsidRPr="00ED0691">
        <w:rPr>
          <w:rFonts w:ascii="Arial" w:hAnsi="Arial" w:cs="Arial"/>
          <w:b/>
        </w:rPr>
        <w:t>2</w:t>
      </w:r>
      <w:proofErr w:type="spellEnd"/>
      <w:r w:rsidR="00CF3883" w:rsidRPr="00ED0691">
        <w:rPr>
          <w:rFonts w:ascii="Arial" w:hAnsi="Arial" w:cs="Arial"/>
          <w:b/>
        </w:rPr>
        <w:t>. Patie</w:t>
      </w:r>
      <w:r w:rsidR="00474D0C" w:rsidRPr="00ED0691">
        <w:rPr>
          <w:rFonts w:ascii="Arial" w:hAnsi="Arial" w:cs="Arial"/>
          <w:b/>
        </w:rPr>
        <w:t>nt Characteristics in Group 1 (</w:t>
      </w:r>
      <w:r w:rsidR="00CF3883" w:rsidRPr="00ED0691">
        <w:rPr>
          <w:rFonts w:ascii="Arial" w:hAnsi="Arial" w:cs="Arial"/>
          <w:b/>
        </w:rPr>
        <w:t>Trauma</w:t>
      </w:r>
      <w:r w:rsidR="00474D0C" w:rsidRPr="00ED0691">
        <w:rPr>
          <w:rFonts w:ascii="Arial" w:hAnsi="Arial" w:cs="Arial"/>
          <w:b/>
        </w:rPr>
        <w:t>)</w:t>
      </w:r>
      <w:r w:rsidR="00CF3883" w:rsidRPr="00ED0691">
        <w:rPr>
          <w:rFonts w:ascii="Arial" w:hAnsi="Arial" w:cs="Arial"/>
          <w:b/>
        </w:rPr>
        <w:t xml:space="preserve"> by AKI Sub-phenotypes</w:t>
      </w:r>
    </w:p>
    <w:tbl>
      <w:tblPr>
        <w:tblStyle w:val="TableGrid"/>
        <w:tblpPr w:leftFromText="180" w:rightFromText="180" w:vertAnchor="text" w:horzAnchor="margin" w:tblpY="133"/>
        <w:tblW w:w="9090" w:type="dxa"/>
        <w:tblLayout w:type="fixed"/>
        <w:tblLook w:val="04A0"/>
      </w:tblPr>
      <w:tblGrid>
        <w:gridCol w:w="2448"/>
        <w:gridCol w:w="1530"/>
        <w:gridCol w:w="1710"/>
        <w:gridCol w:w="1800"/>
        <w:gridCol w:w="1602"/>
      </w:tblGrid>
      <w:tr w:rsidR="00CF3883" w:rsidRPr="00ED0691" w:rsidTr="00474D0C">
        <w:trPr>
          <w:trHeight w:val="20"/>
        </w:trPr>
        <w:tc>
          <w:tcPr>
            <w:tcW w:w="2448" w:type="dxa"/>
            <w:vMerge w:val="restart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 xml:space="preserve">Clinical Variable </w:t>
            </w:r>
          </w:p>
        </w:tc>
        <w:tc>
          <w:tcPr>
            <w:tcW w:w="5040" w:type="dxa"/>
            <w:gridSpan w:val="3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ED069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Group 1</w:t>
            </w: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vMerge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474D0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No AKI</w:t>
            </w:r>
          </w:p>
        </w:tc>
        <w:tc>
          <w:tcPr>
            <w:tcW w:w="3510" w:type="dxa"/>
            <w:gridSpan w:val="2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474D0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AKI</w:t>
            </w: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ED069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vMerge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474D0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Resolving AKI</w:t>
            </w: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474D0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Non-Resolving AKI</w:t>
            </w: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1037</w:t>
            </w: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647</w:t>
            </w: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230</w:t>
            </w: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1914</w:t>
            </w:r>
          </w:p>
        </w:tc>
      </w:tr>
      <w:tr w:rsidR="00CF3883" w:rsidRPr="00ED0691" w:rsidTr="00ED0691">
        <w:trPr>
          <w:trHeight w:val="527"/>
        </w:trPr>
        <w:tc>
          <w:tcPr>
            <w:tcW w:w="2448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474D0C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Baseline Demographics</w:t>
            </w: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Age (year)</w:t>
            </w: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36.8 +/- 20.7</w:t>
            </w: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40.2 +/- 19.5</w:t>
            </w: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44.9 +/-20.7</w:t>
            </w: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38.9 +/- 20.4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Male (%)</w:t>
            </w: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678 (65)</w:t>
            </w: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502 (78)</w:t>
            </w: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189 (82)</w:t>
            </w: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1369 (72)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Body Mass Index (kg/m</w:t>
            </w:r>
            <w:r w:rsidRPr="00ED0691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2</w:t>
            </w:r>
            <w:r w:rsidRPr="00ED069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25.6 +/- 9.2</w:t>
            </w: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27.2 +/- 6.5</w:t>
            </w: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28.5 +/-7.6</w:t>
            </w: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26.5 +/- 8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Race (%)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Caucasian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793 (77)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509 (79)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177 (8)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1479 (77)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Hispanic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91 (9)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43 (7)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12 (5)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146 (8)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Black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64 (6)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36 (6)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20 (9)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120 (6)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Other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65 (6)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45 (7)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15 (7)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125 (7)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Unknown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24 (2)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14 (2)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6 (3)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44 (2)</w:t>
            </w:r>
          </w:p>
        </w:tc>
      </w:tr>
      <w:tr w:rsidR="00CF3883" w:rsidRPr="00ED0691" w:rsidTr="002E399B">
        <w:trPr>
          <w:trHeight w:val="347"/>
        </w:trPr>
        <w:tc>
          <w:tcPr>
            <w:tcW w:w="2448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474D0C">
            <w:pPr>
              <w:spacing w:before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Injury Severity Score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23.1 +/- 10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24.5 +/- 10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23.8 +/- 10.8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23.6 +/- 10.2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474D0C">
            <w:pPr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Co-morbidities (%)</w:t>
            </w: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Diabetes Mellitus*</w:t>
            </w: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34 (5)</w:t>
            </w: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36 (8)</w:t>
            </w: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25 (15)</w:t>
            </w: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95 (7.5)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Cerebrovascular Disease</w:t>
            </w: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171 (17)</w:t>
            </w: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156 (24)</w:t>
            </w: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71 (31)</w:t>
            </w: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398 (21)</w:t>
            </w:r>
          </w:p>
        </w:tc>
      </w:tr>
      <w:tr w:rsidR="00CF3883" w:rsidRPr="00ED0691" w:rsidTr="00ED0691">
        <w:trPr>
          <w:trHeight w:val="527"/>
        </w:trPr>
        <w:tc>
          <w:tcPr>
            <w:tcW w:w="2448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Chronic Kidney Disease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 (&lt;1)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 (1)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 (3)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18 (&lt;1)</w:t>
            </w:r>
          </w:p>
        </w:tc>
      </w:tr>
      <w:tr w:rsidR="00CF3883" w:rsidRPr="00ED0691" w:rsidTr="00ED0691">
        <w:trPr>
          <w:trHeight w:val="365"/>
        </w:trPr>
        <w:tc>
          <w:tcPr>
            <w:tcW w:w="2448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474D0C">
            <w:pPr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 xml:space="preserve">ICU Events </w:t>
            </w: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Mechanical                   Ventilation</w:t>
            </w: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701 (68)</w:t>
            </w: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493 (76)</w:t>
            </w: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164 (71)</w:t>
            </w: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1358 (71)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Sepsis</w:t>
            </w: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235 (23)</w:t>
            </w: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180 (28)</w:t>
            </w: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56 (24)</w:t>
            </w: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471 (25)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Septic Shock</w:t>
            </w: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30 (3)</w:t>
            </w: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38 (6)</w:t>
            </w: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32 (14)</w:t>
            </w: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100 (5)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Vasopressors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89 (9)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76 (12)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57 (25)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222 (12)</w:t>
            </w:r>
          </w:p>
        </w:tc>
      </w:tr>
      <w:tr w:rsidR="00CF3883" w:rsidRPr="00ED0691" w:rsidTr="00ED0691">
        <w:trPr>
          <w:trHeight w:val="284"/>
        </w:trPr>
        <w:tc>
          <w:tcPr>
            <w:tcW w:w="2448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474D0C">
            <w:pPr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 xml:space="preserve">Admission Status </w:t>
            </w: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Direct</w:t>
            </w: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715 (69)</w:t>
            </w: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477 (74)</w:t>
            </w: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166 (73)</w:t>
            </w: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1359 (71)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Transfer</w:t>
            </w: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318 (31)</w:t>
            </w: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170 (26)</w:t>
            </w: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62 (27)</w:t>
            </w: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550 (29)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Unknown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474D0C">
            <w:pPr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 xml:space="preserve">KDIGO Stage of </w:t>
            </w:r>
            <w:r w:rsidR="00474D0C" w:rsidRPr="00ED0691">
              <w:rPr>
                <w:rFonts w:ascii="Arial" w:hAnsi="Arial" w:cs="Arial"/>
                <w:b/>
                <w:sz w:val="22"/>
                <w:szCs w:val="22"/>
              </w:rPr>
              <w:t>AKI</w:t>
            </w: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Stage 0</w:t>
            </w: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1037 (100)</w:t>
            </w: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1037 (54)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Stage 1</w:t>
            </w: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596 (92)</w:t>
            </w: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211 (92)</w:t>
            </w: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807 (42)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Stage 2</w:t>
            </w:r>
          </w:p>
        </w:tc>
        <w:tc>
          <w:tcPr>
            <w:tcW w:w="153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1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39 (6)</w:t>
            </w:r>
          </w:p>
        </w:tc>
        <w:tc>
          <w:tcPr>
            <w:tcW w:w="1800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9 (4)</w:t>
            </w:r>
          </w:p>
        </w:tc>
        <w:tc>
          <w:tcPr>
            <w:tcW w:w="1602" w:type="dxa"/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48 (3)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lastRenderedPageBreak/>
              <w:t>Stage 3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12 (2)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10 (4)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22 (1)</w:t>
            </w:r>
          </w:p>
        </w:tc>
      </w:tr>
      <w:tr w:rsidR="00CF3883" w:rsidRPr="00ED0691" w:rsidTr="00474D0C">
        <w:trPr>
          <w:trHeight w:val="20"/>
        </w:trPr>
        <w:tc>
          <w:tcPr>
            <w:tcW w:w="2448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1037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230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tcMar>
              <w:top w:w="14" w:type="dxa"/>
              <w:left w:w="72" w:type="dxa"/>
              <w:bottom w:w="14" w:type="dxa"/>
              <w:right w:w="72" w:type="dxa"/>
            </w:tcMar>
            <w:vAlign w:val="center"/>
          </w:tcPr>
          <w:p w:rsidR="00CF3883" w:rsidRPr="00ED0691" w:rsidRDefault="00CF3883" w:rsidP="00CC10F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1914</w:t>
            </w:r>
          </w:p>
        </w:tc>
      </w:tr>
    </w:tbl>
    <w:p w:rsidR="009E095B" w:rsidRPr="00ED0691" w:rsidRDefault="009E095B" w:rsidP="00545871">
      <w:pPr>
        <w:rPr>
          <w:rFonts w:ascii="Arial" w:hAnsi="Arial" w:cs="Arial"/>
        </w:rPr>
      </w:pPr>
    </w:p>
    <w:p w:rsidR="00CF3883" w:rsidRPr="00ED0691" w:rsidRDefault="00CF3883" w:rsidP="00545871">
      <w:pPr>
        <w:spacing w:after="0" w:line="240" w:lineRule="auto"/>
        <w:rPr>
          <w:rFonts w:ascii="Arial" w:hAnsi="Arial" w:cs="Arial"/>
          <w:b/>
          <w:u w:val="single"/>
        </w:rPr>
      </w:pPr>
    </w:p>
    <w:p w:rsidR="00CF3883" w:rsidRPr="00ED0691" w:rsidRDefault="00CF3883" w:rsidP="00545871">
      <w:pPr>
        <w:spacing w:after="0" w:line="240" w:lineRule="auto"/>
        <w:rPr>
          <w:rFonts w:ascii="Arial" w:hAnsi="Arial" w:cs="Arial"/>
          <w:b/>
          <w:u w:val="single"/>
        </w:rPr>
      </w:pPr>
    </w:p>
    <w:p w:rsidR="009E095B" w:rsidRPr="00ED0691" w:rsidRDefault="009E095B" w:rsidP="00545871">
      <w:pPr>
        <w:spacing w:after="0" w:line="240" w:lineRule="auto"/>
        <w:rPr>
          <w:rFonts w:ascii="Arial" w:hAnsi="Arial" w:cs="Arial"/>
        </w:rPr>
      </w:pPr>
      <w:r w:rsidRPr="00ED0691">
        <w:rPr>
          <w:rFonts w:ascii="Arial" w:hAnsi="Arial" w:cs="Arial"/>
        </w:rPr>
        <w:t xml:space="preserve">Data shown as mean+/- standard deviation, </w:t>
      </w:r>
      <w:proofErr w:type="gramStart"/>
      <w:r w:rsidRPr="00ED0691">
        <w:rPr>
          <w:rFonts w:ascii="Arial" w:hAnsi="Arial" w:cs="Arial"/>
        </w:rPr>
        <w:t>n(</w:t>
      </w:r>
      <w:proofErr w:type="gramEnd"/>
      <w:r w:rsidRPr="00ED0691">
        <w:rPr>
          <w:rFonts w:ascii="Arial" w:hAnsi="Arial" w:cs="Arial"/>
        </w:rPr>
        <w:t>%) as appropriate</w:t>
      </w:r>
    </w:p>
    <w:p w:rsidR="009E095B" w:rsidRPr="00ED0691" w:rsidRDefault="009E095B" w:rsidP="00545871">
      <w:pPr>
        <w:spacing w:after="0" w:line="240" w:lineRule="auto"/>
        <w:rPr>
          <w:rFonts w:ascii="Arial" w:hAnsi="Arial" w:cs="Arial"/>
        </w:rPr>
      </w:pPr>
      <w:r w:rsidRPr="00ED0691">
        <w:rPr>
          <w:rFonts w:ascii="Arial" w:hAnsi="Arial" w:cs="Arial"/>
        </w:rPr>
        <w:t xml:space="preserve">SOFA – Sepsis related Organ Failure Assessment </w:t>
      </w:r>
    </w:p>
    <w:p w:rsidR="00474D0C" w:rsidRDefault="00474D0C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Default="00ED0691" w:rsidP="00545871">
      <w:pPr>
        <w:rPr>
          <w:rFonts w:ascii="Arial" w:hAnsi="Arial" w:cs="Arial"/>
        </w:rPr>
      </w:pPr>
    </w:p>
    <w:p w:rsidR="00ED0691" w:rsidRPr="00ED0691" w:rsidRDefault="00ED0691" w:rsidP="00545871">
      <w:pPr>
        <w:rPr>
          <w:rFonts w:ascii="Arial" w:hAnsi="Arial" w:cs="Arial"/>
        </w:rPr>
      </w:pPr>
    </w:p>
    <w:p w:rsidR="009E095B" w:rsidRPr="00ED0691" w:rsidRDefault="00ED0691" w:rsidP="00111658">
      <w:pPr>
        <w:spacing w:after="120"/>
        <w:rPr>
          <w:rFonts w:ascii="Arial" w:hAnsi="Arial" w:cs="Arial"/>
          <w:b/>
        </w:rPr>
      </w:pPr>
      <w:r w:rsidRPr="00ED0691">
        <w:rPr>
          <w:rFonts w:ascii="Arial" w:hAnsi="Arial" w:cs="Arial"/>
          <w:b/>
        </w:rPr>
        <w:lastRenderedPageBreak/>
        <w:t xml:space="preserve">Table </w:t>
      </w:r>
      <w:r w:rsidR="00392B48">
        <w:rPr>
          <w:rFonts w:ascii="Arial" w:hAnsi="Arial" w:cs="Arial"/>
          <w:b/>
        </w:rPr>
        <w:t>S</w:t>
      </w:r>
      <w:r w:rsidRPr="00ED0691">
        <w:rPr>
          <w:rFonts w:ascii="Arial" w:hAnsi="Arial" w:cs="Arial"/>
          <w:b/>
        </w:rPr>
        <w:t>3</w:t>
      </w:r>
      <w:r w:rsidR="009E095B" w:rsidRPr="00ED0691">
        <w:rPr>
          <w:rFonts w:ascii="Arial" w:hAnsi="Arial" w:cs="Arial"/>
          <w:b/>
        </w:rPr>
        <w:t xml:space="preserve">. Patient Characteristics in Group 2 (Mixed Medical and Surgical) by AKI </w:t>
      </w:r>
      <w:r w:rsidR="00CF3883" w:rsidRPr="00ED0691">
        <w:rPr>
          <w:rFonts w:ascii="Arial" w:hAnsi="Arial" w:cs="Arial"/>
          <w:b/>
        </w:rPr>
        <w:t xml:space="preserve">                        </w:t>
      </w:r>
      <w:r w:rsidR="009E095B" w:rsidRPr="00ED0691">
        <w:rPr>
          <w:rFonts w:ascii="Arial" w:hAnsi="Arial" w:cs="Arial"/>
          <w:b/>
        </w:rPr>
        <w:t>Sub-phenotypes</w:t>
      </w:r>
    </w:p>
    <w:tbl>
      <w:tblPr>
        <w:tblStyle w:val="TableGrid"/>
        <w:tblpPr w:leftFromText="180" w:rightFromText="180" w:vertAnchor="text" w:horzAnchor="margin" w:tblpY="58"/>
        <w:tblW w:w="9108" w:type="dxa"/>
        <w:tblLayout w:type="fixed"/>
        <w:tblCellMar>
          <w:top w:w="14" w:type="dxa"/>
          <w:left w:w="72" w:type="dxa"/>
          <w:bottom w:w="14" w:type="dxa"/>
          <w:right w:w="72" w:type="dxa"/>
        </w:tblCellMar>
        <w:tblLook w:val="04A0"/>
      </w:tblPr>
      <w:tblGrid>
        <w:gridCol w:w="2592"/>
        <w:gridCol w:w="1440"/>
        <w:gridCol w:w="1620"/>
        <w:gridCol w:w="1746"/>
        <w:gridCol w:w="1710"/>
      </w:tblGrid>
      <w:tr w:rsidR="00CF3883" w:rsidRPr="00ED0691" w:rsidTr="00A40853">
        <w:trPr>
          <w:trHeight w:val="20"/>
        </w:trPr>
        <w:tc>
          <w:tcPr>
            <w:tcW w:w="2592" w:type="dxa"/>
            <w:vMerge w:val="restart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Clinical Variables</w:t>
            </w:r>
          </w:p>
        </w:tc>
        <w:tc>
          <w:tcPr>
            <w:tcW w:w="4806" w:type="dxa"/>
            <w:gridSpan w:val="3"/>
            <w:vAlign w:val="center"/>
          </w:tcPr>
          <w:p w:rsidR="00CF3883" w:rsidRPr="00ED0691" w:rsidRDefault="00CF3883" w:rsidP="00ED069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Group 2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Merge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No AKI</w:t>
            </w:r>
          </w:p>
        </w:tc>
        <w:tc>
          <w:tcPr>
            <w:tcW w:w="3366" w:type="dxa"/>
            <w:gridSpan w:val="2"/>
            <w:vAlign w:val="center"/>
          </w:tcPr>
          <w:p w:rsidR="00CF3883" w:rsidRPr="00ED0691" w:rsidRDefault="00CF3883" w:rsidP="00A408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AKI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ED069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Merge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Resolving AKI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Non-Resolving AKI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573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875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419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1867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Baseline Demographics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Age (year)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56.8 +/-16.8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59.5 +/- 18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60.4 +/- 18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58.9 +/- 18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 xml:space="preserve">Male 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246 (43)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359 (41)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184 (44)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794 (43)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Body Mass Index (kg/m</w:t>
            </w:r>
            <w:r w:rsidRPr="00ED0691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2</w:t>
            </w:r>
            <w:r w:rsidRPr="00ED069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27.5 +/- 7.7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28.3 +/- 7.4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27.8 +/-7.7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27.9 +/- 7.6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 xml:space="preserve">Race (%) 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Caucasian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573 (100)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875 (100)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419 (100)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1867 (100)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Co-Morbidities (%)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Diabetes Mellitus*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95 (17)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223 (26)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108 (26)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426 (23)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SOFA Score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7.0 +/-2.3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8.9 +/-2.9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8.6 +/-2.8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8.3 +/- 2.8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SOFA Score without renal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6.9 +/- 2.2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7.7 +/-2.5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7.7 +/- 2.5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7.5 +/ 2.5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APACHE III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64 +/- 24.6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78 +/- 26</w:t>
            </w:r>
          </w:p>
        </w:tc>
        <w:tc>
          <w:tcPr>
            <w:tcW w:w="1746" w:type="dxa"/>
            <w:vAlign w:val="center"/>
          </w:tcPr>
          <w:p w:rsidR="00CF3883" w:rsidRPr="00ED0691" w:rsidRDefault="001A0E60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</w:t>
            </w:r>
            <w:r w:rsidR="00CF3883" w:rsidRPr="00ED0691">
              <w:rPr>
                <w:rFonts w:ascii="Arial" w:hAnsi="Arial" w:cs="Arial"/>
                <w:sz w:val="22"/>
                <w:szCs w:val="22"/>
              </w:rPr>
              <w:t xml:space="preserve"> +/-28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74 +/-26.8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 xml:space="preserve">ICU Events 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 xml:space="preserve">Mechanical           </w:t>
            </w:r>
            <w:r w:rsidR="00A40853" w:rsidRPr="00ED0691">
              <w:rPr>
                <w:rFonts w:ascii="Arial" w:hAnsi="Arial" w:cs="Arial"/>
                <w:sz w:val="22"/>
                <w:szCs w:val="22"/>
              </w:rPr>
              <w:t>Ventilation±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416 (78)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599 (74)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310 (79)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1325 (77)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Sepsis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325 (56)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628 (72)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249 (59)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1202 (64)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A4085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Vasopressors~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134 (35)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382 (52)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189 (55)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706 (48)</w:t>
            </w:r>
          </w:p>
        </w:tc>
      </w:tr>
      <w:tr w:rsidR="00A40853" w:rsidRPr="00ED0691" w:rsidTr="00A40853">
        <w:trPr>
          <w:trHeight w:val="20"/>
        </w:trPr>
        <w:tc>
          <w:tcPr>
            <w:tcW w:w="2592" w:type="dxa"/>
            <w:vAlign w:val="center"/>
          </w:tcPr>
          <w:p w:rsidR="00A40853" w:rsidRPr="00ED0691" w:rsidRDefault="00A40853" w:rsidP="00A4085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>Diagnosis of ARDS</w:t>
            </w:r>
          </w:p>
        </w:tc>
        <w:tc>
          <w:tcPr>
            <w:tcW w:w="1440" w:type="dxa"/>
            <w:vAlign w:val="center"/>
          </w:tcPr>
          <w:p w:rsidR="00A40853" w:rsidRPr="00ED0691" w:rsidRDefault="00A40853" w:rsidP="00A40853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306 (53)</w:t>
            </w:r>
          </w:p>
        </w:tc>
        <w:tc>
          <w:tcPr>
            <w:tcW w:w="1620" w:type="dxa"/>
            <w:vAlign w:val="center"/>
          </w:tcPr>
          <w:p w:rsidR="00A40853" w:rsidRPr="00ED0691" w:rsidRDefault="00A40853" w:rsidP="00A40853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445 (51)</w:t>
            </w:r>
          </w:p>
        </w:tc>
        <w:tc>
          <w:tcPr>
            <w:tcW w:w="1746" w:type="dxa"/>
            <w:vAlign w:val="center"/>
          </w:tcPr>
          <w:p w:rsidR="00A40853" w:rsidRPr="00ED0691" w:rsidRDefault="00A40853" w:rsidP="00A40853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255 (61)</w:t>
            </w:r>
          </w:p>
        </w:tc>
        <w:tc>
          <w:tcPr>
            <w:tcW w:w="1710" w:type="dxa"/>
            <w:vAlign w:val="center"/>
          </w:tcPr>
          <w:p w:rsidR="00A40853" w:rsidRPr="00ED0691" w:rsidRDefault="00A40853" w:rsidP="00A40853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1006 (54)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 xml:space="preserve">Clinical Risk for ARDS 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Pneumonia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298 (52)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469 (54)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233 (56)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1000 (54)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Sepsis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366 (64)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698 (80)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308 (74)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1372 (73)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Aspiration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74 (13)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103 (12)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55 (13)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232 (12)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Trauma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57 (10)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61 (7)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25 (6)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143 (8)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Other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23 (4)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16 (2)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15 (4)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54 (3)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 xml:space="preserve">Admission Status 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Direct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518 (90)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813 (93)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379 (90)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1710 (92)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Transfer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55 (10)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62 (7)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40 (10)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157 (8)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b/>
                <w:sz w:val="22"/>
                <w:szCs w:val="22"/>
              </w:rPr>
              <w:t xml:space="preserve">KDIGO Stage of AKI 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Stage 0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573 (100)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573 (31)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Stage 1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610 (70)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334 (80)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944 (51)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Stage 2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131 (15)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34 (8)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165 (9)</w:t>
            </w:r>
          </w:p>
        </w:tc>
      </w:tr>
      <w:tr w:rsidR="00CF3883" w:rsidRPr="00ED0691" w:rsidTr="00A40853">
        <w:trPr>
          <w:trHeight w:val="20"/>
        </w:trPr>
        <w:tc>
          <w:tcPr>
            <w:tcW w:w="2592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lastRenderedPageBreak/>
              <w:t>Stage 3</w:t>
            </w:r>
          </w:p>
        </w:tc>
        <w:tc>
          <w:tcPr>
            <w:tcW w:w="144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62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134 (15)</w:t>
            </w:r>
          </w:p>
        </w:tc>
        <w:tc>
          <w:tcPr>
            <w:tcW w:w="1746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51 (12)</w:t>
            </w:r>
          </w:p>
        </w:tc>
        <w:tc>
          <w:tcPr>
            <w:tcW w:w="1710" w:type="dxa"/>
            <w:vAlign w:val="center"/>
          </w:tcPr>
          <w:p w:rsidR="00CF3883" w:rsidRPr="00ED0691" w:rsidRDefault="00CF3883" w:rsidP="00A408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D0691">
              <w:rPr>
                <w:rFonts w:ascii="Arial" w:hAnsi="Arial" w:cs="Arial"/>
                <w:sz w:val="22"/>
                <w:szCs w:val="22"/>
              </w:rPr>
              <w:t>185 (10)</w:t>
            </w:r>
          </w:p>
        </w:tc>
      </w:tr>
    </w:tbl>
    <w:p w:rsidR="009E095B" w:rsidRPr="00ED0691" w:rsidRDefault="009E095B" w:rsidP="009E095B">
      <w:pPr>
        <w:rPr>
          <w:rFonts w:ascii="Arial" w:hAnsi="Arial" w:cs="Arial"/>
          <w:u w:val="single"/>
        </w:rPr>
      </w:pPr>
    </w:p>
    <w:p w:rsidR="00A40853" w:rsidRPr="00ED0691" w:rsidRDefault="00A40853" w:rsidP="00CF3883">
      <w:pPr>
        <w:spacing w:after="0" w:line="240" w:lineRule="auto"/>
        <w:rPr>
          <w:rFonts w:ascii="Arial" w:hAnsi="Arial" w:cs="Arial"/>
        </w:rPr>
      </w:pPr>
    </w:p>
    <w:p w:rsidR="009E095B" w:rsidRPr="00ED0691" w:rsidRDefault="009E095B" w:rsidP="00CF3883">
      <w:pPr>
        <w:spacing w:after="0" w:line="240" w:lineRule="auto"/>
        <w:rPr>
          <w:rFonts w:ascii="Arial" w:hAnsi="Arial" w:cs="Arial"/>
        </w:rPr>
      </w:pPr>
      <w:r w:rsidRPr="00ED0691">
        <w:rPr>
          <w:rFonts w:ascii="Arial" w:hAnsi="Arial" w:cs="Arial"/>
        </w:rPr>
        <w:t xml:space="preserve">Data shown as mean+/- standard deviation, </w:t>
      </w:r>
      <w:proofErr w:type="gramStart"/>
      <w:r w:rsidRPr="00ED0691">
        <w:rPr>
          <w:rFonts w:ascii="Arial" w:hAnsi="Arial" w:cs="Arial"/>
        </w:rPr>
        <w:t>n(</w:t>
      </w:r>
      <w:proofErr w:type="gramEnd"/>
      <w:r w:rsidRPr="00ED0691">
        <w:rPr>
          <w:rFonts w:ascii="Arial" w:hAnsi="Arial" w:cs="Arial"/>
        </w:rPr>
        <w:t>%) as appropriate</w:t>
      </w:r>
    </w:p>
    <w:p w:rsidR="009E095B" w:rsidRPr="00ED0691" w:rsidRDefault="009E095B" w:rsidP="00CF3883">
      <w:pPr>
        <w:spacing w:after="0" w:line="240" w:lineRule="auto"/>
        <w:rPr>
          <w:rFonts w:ascii="Arial" w:hAnsi="Arial" w:cs="Arial"/>
        </w:rPr>
      </w:pPr>
      <w:r w:rsidRPr="00ED0691">
        <w:rPr>
          <w:rFonts w:ascii="Arial" w:hAnsi="Arial" w:cs="Arial"/>
        </w:rPr>
        <w:t xml:space="preserve">SOFA – Sepsis related Organ Failure Assessment </w:t>
      </w:r>
    </w:p>
    <w:p w:rsidR="002E399B" w:rsidRPr="00ED0691" w:rsidRDefault="009E095B" w:rsidP="00CF3883">
      <w:pPr>
        <w:spacing w:after="0" w:line="240" w:lineRule="auto"/>
        <w:rPr>
          <w:rFonts w:ascii="Arial" w:hAnsi="Arial" w:cs="Arial"/>
        </w:rPr>
      </w:pPr>
      <w:r w:rsidRPr="00ED0691">
        <w:rPr>
          <w:rFonts w:ascii="Arial" w:hAnsi="Arial" w:cs="Arial"/>
        </w:rPr>
        <w:t>APACHE III– Acute Physiology and Chronic Health Evaluation</w:t>
      </w:r>
    </w:p>
    <w:p w:rsidR="009E095B" w:rsidRPr="00ED0691" w:rsidRDefault="009E095B" w:rsidP="00CF3883">
      <w:pPr>
        <w:spacing w:after="0" w:line="240" w:lineRule="auto"/>
        <w:rPr>
          <w:rFonts w:ascii="Arial" w:hAnsi="Arial" w:cs="Arial"/>
        </w:rPr>
      </w:pPr>
      <w:r w:rsidRPr="00ED0691">
        <w:rPr>
          <w:rFonts w:ascii="Arial" w:hAnsi="Arial" w:cs="Arial"/>
        </w:rPr>
        <w:t>* 1848 with information on diabetes mellitus</w:t>
      </w:r>
    </w:p>
    <w:p w:rsidR="009E095B" w:rsidRPr="00ED0691" w:rsidRDefault="00A40853" w:rsidP="00CF3883">
      <w:pPr>
        <w:spacing w:after="0" w:line="240" w:lineRule="auto"/>
        <w:rPr>
          <w:rFonts w:ascii="Arial" w:hAnsi="Arial" w:cs="Arial"/>
        </w:rPr>
      </w:pPr>
      <w:r w:rsidRPr="00ED0691">
        <w:rPr>
          <w:rFonts w:ascii="Arial" w:hAnsi="Arial" w:cs="Arial"/>
        </w:rPr>
        <w:t>±</w:t>
      </w:r>
      <w:r w:rsidR="009E095B" w:rsidRPr="00ED0691">
        <w:rPr>
          <w:rFonts w:ascii="Arial" w:hAnsi="Arial" w:cs="Arial"/>
        </w:rPr>
        <w:t xml:space="preserve">1765 with information on mechanical ventilation </w:t>
      </w:r>
    </w:p>
    <w:p w:rsidR="009E095B" w:rsidRPr="00ED0691" w:rsidRDefault="00A40853" w:rsidP="00CF3883">
      <w:pPr>
        <w:spacing w:after="0" w:line="240" w:lineRule="auto"/>
        <w:rPr>
          <w:rFonts w:ascii="Arial" w:hAnsi="Arial" w:cs="Arial"/>
        </w:rPr>
      </w:pPr>
      <w:r w:rsidRPr="00ED0691">
        <w:rPr>
          <w:rFonts w:ascii="Arial" w:hAnsi="Arial" w:cs="Arial"/>
        </w:rPr>
        <w:t>~</w:t>
      </w:r>
      <w:r w:rsidR="009E095B" w:rsidRPr="00ED0691">
        <w:rPr>
          <w:rFonts w:ascii="Arial" w:hAnsi="Arial" w:cs="Arial"/>
        </w:rPr>
        <w:t xml:space="preserve"> 1468 with information on vasopressors</w:t>
      </w:r>
    </w:p>
    <w:p w:rsidR="009E095B" w:rsidRDefault="009E095B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962559" w:rsidRPr="00962559" w:rsidRDefault="00962559" w:rsidP="009E095B">
      <w:pPr>
        <w:rPr>
          <w:rFonts w:ascii="Arial" w:hAnsi="Arial" w:cs="Arial"/>
          <w:b/>
          <w:u w:val="single"/>
        </w:rPr>
      </w:pPr>
    </w:p>
    <w:p w:rsidR="00962559" w:rsidRPr="00962559" w:rsidRDefault="00962559" w:rsidP="009E095B">
      <w:pPr>
        <w:rPr>
          <w:rFonts w:ascii="Arial" w:hAnsi="Arial" w:cs="Arial"/>
          <w:b/>
        </w:rPr>
      </w:pPr>
      <w:r w:rsidRPr="00020A9A">
        <w:rPr>
          <w:rFonts w:ascii="Arial" w:hAnsi="Arial" w:cs="Arial"/>
          <w:b/>
        </w:rPr>
        <w:lastRenderedPageBreak/>
        <w:t xml:space="preserve">Table </w:t>
      </w:r>
      <w:r w:rsidR="00392B48">
        <w:rPr>
          <w:rFonts w:ascii="Arial" w:hAnsi="Arial" w:cs="Arial"/>
          <w:b/>
        </w:rPr>
        <w:t>S</w:t>
      </w:r>
      <w:r w:rsidRPr="00020A9A">
        <w:rPr>
          <w:rFonts w:ascii="Arial" w:hAnsi="Arial" w:cs="Arial"/>
          <w:b/>
        </w:rPr>
        <w:t xml:space="preserve">4. Patient Characteristics </w:t>
      </w:r>
      <w:r w:rsidR="004F215E" w:rsidRPr="00020A9A">
        <w:rPr>
          <w:rFonts w:ascii="Arial" w:hAnsi="Arial" w:cs="Arial"/>
          <w:b/>
        </w:rPr>
        <w:t>with</w:t>
      </w:r>
      <w:r w:rsidRPr="00020A9A">
        <w:rPr>
          <w:rFonts w:ascii="Arial" w:hAnsi="Arial" w:cs="Arial"/>
          <w:b/>
        </w:rPr>
        <w:t xml:space="preserve"> a Resolving AKI Sub-phenotype in Group 2</w:t>
      </w:r>
    </w:p>
    <w:tbl>
      <w:tblPr>
        <w:tblStyle w:val="TableGrid"/>
        <w:tblW w:w="0" w:type="auto"/>
        <w:tblLook w:val="04A0"/>
      </w:tblPr>
      <w:tblGrid>
        <w:gridCol w:w="2988"/>
        <w:gridCol w:w="2520"/>
        <w:gridCol w:w="2880"/>
      </w:tblGrid>
      <w:tr w:rsidR="00962559" w:rsidRPr="00962559" w:rsidTr="00962559">
        <w:tc>
          <w:tcPr>
            <w:tcW w:w="2988" w:type="dxa"/>
            <w:vAlign w:val="center"/>
          </w:tcPr>
          <w:p w:rsidR="00962559" w:rsidRPr="00962559" w:rsidRDefault="00962559" w:rsidP="0096255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62559">
              <w:rPr>
                <w:rFonts w:ascii="Arial" w:hAnsi="Arial" w:cs="Arial"/>
                <w:b/>
                <w:sz w:val="22"/>
                <w:szCs w:val="22"/>
              </w:rPr>
              <w:t>Peak Serum Creatinine (days)</w:t>
            </w:r>
          </w:p>
        </w:tc>
        <w:tc>
          <w:tcPr>
            <w:tcW w:w="2520" w:type="dxa"/>
            <w:vAlign w:val="center"/>
          </w:tcPr>
          <w:p w:rsidR="00962559" w:rsidRPr="00962559" w:rsidRDefault="00962559" w:rsidP="0096255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62559">
              <w:rPr>
                <w:rFonts w:ascii="Arial" w:hAnsi="Arial" w:cs="Arial"/>
                <w:b/>
                <w:sz w:val="22"/>
                <w:szCs w:val="22"/>
              </w:rPr>
              <w:t>Number of Patients</w:t>
            </w:r>
          </w:p>
        </w:tc>
        <w:tc>
          <w:tcPr>
            <w:tcW w:w="2880" w:type="dxa"/>
            <w:vAlign w:val="center"/>
          </w:tcPr>
          <w:p w:rsidR="00962559" w:rsidRPr="00962559" w:rsidRDefault="00962559" w:rsidP="0096255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62559">
              <w:rPr>
                <w:rFonts w:ascii="Arial" w:hAnsi="Arial" w:cs="Arial"/>
                <w:b/>
                <w:sz w:val="22"/>
                <w:szCs w:val="22"/>
              </w:rPr>
              <w:t>Mortality (%)</w:t>
            </w:r>
          </w:p>
        </w:tc>
      </w:tr>
      <w:tr w:rsidR="00962559" w:rsidRPr="00962559" w:rsidTr="00962559">
        <w:trPr>
          <w:trHeight w:val="341"/>
        </w:trPr>
        <w:tc>
          <w:tcPr>
            <w:tcW w:w="2988" w:type="dxa"/>
            <w:vAlign w:val="center"/>
          </w:tcPr>
          <w:p w:rsidR="00962559" w:rsidRPr="00962559" w:rsidRDefault="00962559" w:rsidP="00962559">
            <w:pPr>
              <w:rPr>
                <w:rFonts w:ascii="Arial" w:hAnsi="Arial" w:cs="Arial"/>
                <w:sz w:val="22"/>
                <w:szCs w:val="22"/>
              </w:rPr>
            </w:pPr>
            <w:r w:rsidRPr="00962559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520" w:type="dxa"/>
            <w:vAlign w:val="center"/>
          </w:tcPr>
          <w:p w:rsidR="00962559" w:rsidRPr="00962559" w:rsidRDefault="00962559" w:rsidP="00962559">
            <w:pPr>
              <w:rPr>
                <w:rFonts w:ascii="Arial" w:hAnsi="Arial" w:cs="Arial"/>
                <w:sz w:val="22"/>
                <w:szCs w:val="22"/>
              </w:rPr>
            </w:pPr>
            <w:r w:rsidRPr="00962559">
              <w:rPr>
                <w:rFonts w:ascii="Arial" w:hAnsi="Arial" w:cs="Arial"/>
                <w:sz w:val="22"/>
                <w:szCs w:val="22"/>
              </w:rPr>
              <w:t>517</w:t>
            </w:r>
          </w:p>
        </w:tc>
        <w:tc>
          <w:tcPr>
            <w:tcW w:w="2880" w:type="dxa"/>
            <w:vAlign w:val="center"/>
          </w:tcPr>
          <w:p w:rsidR="00962559" w:rsidRPr="00962559" w:rsidRDefault="00962559" w:rsidP="00962559">
            <w:pPr>
              <w:rPr>
                <w:rFonts w:ascii="Arial" w:hAnsi="Arial" w:cs="Arial"/>
                <w:sz w:val="22"/>
                <w:szCs w:val="22"/>
              </w:rPr>
            </w:pPr>
            <w:r w:rsidRPr="00962559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962559" w:rsidRPr="00962559" w:rsidTr="00962559">
        <w:trPr>
          <w:trHeight w:val="350"/>
        </w:trPr>
        <w:tc>
          <w:tcPr>
            <w:tcW w:w="2988" w:type="dxa"/>
            <w:vAlign w:val="center"/>
          </w:tcPr>
          <w:p w:rsidR="00962559" w:rsidRPr="00962559" w:rsidRDefault="00962559" w:rsidP="00962559">
            <w:pPr>
              <w:rPr>
                <w:rFonts w:ascii="Arial" w:hAnsi="Arial" w:cs="Arial"/>
                <w:sz w:val="22"/>
                <w:szCs w:val="22"/>
              </w:rPr>
            </w:pPr>
            <w:r w:rsidRPr="0096255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20" w:type="dxa"/>
            <w:vAlign w:val="center"/>
          </w:tcPr>
          <w:p w:rsidR="00962559" w:rsidRPr="00962559" w:rsidRDefault="00962559" w:rsidP="00962559">
            <w:pPr>
              <w:rPr>
                <w:rFonts w:ascii="Arial" w:hAnsi="Arial" w:cs="Arial"/>
                <w:sz w:val="22"/>
                <w:szCs w:val="22"/>
              </w:rPr>
            </w:pPr>
            <w:r w:rsidRPr="00962559">
              <w:rPr>
                <w:rFonts w:ascii="Arial" w:hAnsi="Arial" w:cs="Arial"/>
                <w:sz w:val="22"/>
                <w:szCs w:val="22"/>
              </w:rPr>
              <w:t>239</w:t>
            </w:r>
          </w:p>
        </w:tc>
        <w:tc>
          <w:tcPr>
            <w:tcW w:w="2880" w:type="dxa"/>
            <w:vAlign w:val="center"/>
          </w:tcPr>
          <w:p w:rsidR="00962559" w:rsidRPr="00962559" w:rsidRDefault="00962559" w:rsidP="00962559">
            <w:pPr>
              <w:rPr>
                <w:rFonts w:ascii="Arial" w:hAnsi="Arial" w:cs="Arial"/>
                <w:sz w:val="22"/>
                <w:szCs w:val="22"/>
              </w:rPr>
            </w:pPr>
            <w:r w:rsidRPr="00962559"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  <w:tr w:rsidR="00962559" w:rsidRPr="00962559" w:rsidTr="00962559">
        <w:trPr>
          <w:trHeight w:val="440"/>
        </w:trPr>
        <w:tc>
          <w:tcPr>
            <w:tcW w:w="2988" w:type="dxa"/>
            <w:vAlign w:val="center"/>
          </w:tcPr>
          <w:p w:rsidR="00962559" w:rsidRPr="00962559" w:rsidRDefault="00962559" w:rsidP="00962559">
            <w:pPr>
              <w:rPr>
                <w:rFonts w:ascii="Arial" w:hAnsi="Arial" w:cs="Arial"/>
                <w:sz w:val="22"/>
                <w:szCs w:val="22"/>
              </w:rPr>
            </w:pPr>
            <w:r w:rsidRPr="0096255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20" w:type="dxa"/>
            <w:vAlign w:val="center"/>
          </w:tcPr>
          <w:p w:rsidR="00962559" w:rsidRPr="00962559" w:rsidRDefault="00962559" w:rsidP="00962559">
            <w:pPr>
              <w:rPr>
                <w:rFonts w:ascii="Arial" w:hAnsi="Arial" w:cs="Arial"/>
                <w:sz w:val="22"/>
                <w:szCs w:val="22"/>
              </w:rPr>
            </w:pPr>
            <w:r w:rsidRPr="00962559"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2880" w:type="dxa"/>
            <w:vAlign w:val="center"/>
          </w:tcPr>
          <w:p w:rsidR="00962559" w:rsidRPr="00962559" w:rsidRDefault="00962559" w:rsidP="00962559">
            <w:pPr>
              <w:rPr>
                <w:rFonts w:ascii="Arial" w:hAnsi="Arial" w:cs="Arial"/>
                <w:sz w:val="22"/>
                <w:szCs w:val="22"/>
              </w:rPr>
            </w:pPr>
            <w:r w:rsidRPr="00962559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962559" w:rsidRPr="00962559" w:rsidTr="00962559">
        <w:trPr>
          <w:trHeight w:val="395"/>
        </w:trPr>
        <w:tc>
          <w:tcPr>
            <w:tcW w:w="2988" w:type="dxa"/>
            <w:vAlign w:val="center"/>
          </w:tcPr>
          <w:p w:rsidR="00962559" w:rsidRPr="00962559" w:rsidRDefault="00962559" w:rsidP="00962559">
            <w:pPr>
              <w:rPr>
                <w:rFonts w:ascii="Arial" w:hAnsi="Arial" w:cs="Arial"/>
                <w:sz w:val="22"/>
                <w:szCs w:val="22"/>
              </w:rPr>
            </w:pPr>
            <w:r w:rsidRPr="0096255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20" w:type="dxa"/>
            <w:vAlign w:val="center"/>
          </w:tcPr>
          <w:p w:rsidR="00962559" w:rsidRPr="00962559" w:rsidRDefault="00962559" w:rsidP="00962559">
            <w:pPr>
              <w:rPr>
                <w:rFonts w:ascii="Arial" w:hAnsi="Arial" w:cs="Arial"/>
                <w:sz w:val="22"/>
                <w:szCs w:val="22"/>
              </w:rPr>
            </w:pPr>
            <w:r w:rsidRPr="00962559"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2880" w:type="dxa"/>
            <w:vAlign w:val="center"/>
          </w:tcPr>
          <w:p w:rsidR="00962559" w:rsidRPr="00962559" w:rsidRDefault="00962559" w:rsidP="00962559">
            <w:pPr>
              <w:rPr>
                <w:rFonts w:ascii="Arial" w:hAnsi="Arial" w:cs="Arial"/>
                <w:sz w:val="22"/>
                <w:szCs w:val="22"/>
              </w:rPr>
            </w:pPr>
            <w:r w:rsidRPr="00962559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962559" w:rsidRPr="00962559" w:rsidTr="00962559">
        <w:trPr>
          <w:trHeight w:val="395"/>
        </w:trPr>
        <w:tc>
          <w:tcPr>
            <w:tcW w:w="2988" w:type="dxa"/>
            <w:vAlign w:val="center"/>
          </w:tcPr>
          <w:p w:rsidR="00962559" w:rsidRPr="00962559" w:rsidRDefault="00962559" w:rsidP="00962559">
            <w:pPr>
              <w:rPr>
                <w:rFonts w:ascii="Arial" w:hAnsi="Arial" w:cs="Arial"/>
                <w:sz w:val="22"/>
                <w:szCs w:val="22"/>
              </w:rPr>
            </w:pPr>
            <w:r w:rsidRPr="00962559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  <w:tc>
          <w:tcPr>
            <w:tcW w:w="2520" w:type="dxa"/>
            <w:vAlign w:val="center"/>
          </w:tcPr>
          <w:p w:rsidR="00962559" w:rsidRPr="00962559" w:rsidRDefault="00962559" w:rsidP="00962559">
            <w:pPr>
              <w:rPr>
                <w:rFonts w:ascii="Arial" w:hAnsi="Arial" w:cs="Arial"/>
                <w:sz w:val="22"/>
                <w:szCs w:val="22"/>
              </w:rPr>
            </w:pPr>
            <w:r w:rsidRPr="00962559">
              <w:rPr>
                <w:rFonts w:ascii="Arial" w:hAnsi="Arial" w:cs="Arial"/>
                <w:sz w:val="22"/>
                <w:szCs w:val="22"/>
              </w:rPr>
              <w:t>914</w:t>
            </w:r>
          </w:p>
        </w:tc>
        <w:tc>
          <w:tcPr>
            <w:tcW w:w="2880" w:type="dxa"/>
            <w:vAlign w:val="center"/>
          </w:tcPr>
          <w:p w:rsidR="00962559" w:rsidRPr="00962559" w:rsidRDefault="00962559" w:rsidP="00962559">
            <w:pPr>
              <w:rPr>
                <w:rFonts w:ascii="Arial" w:hAnsi="Arial" w:cs="Arial"/>
                <w:sz w:val="22"/>
                <w:szCs w:val="22"/>
              </w:rPr>
            </w:pPr>
            <w:r w:rsidRPr="00962559"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</w:tbl>
    <w:p w:rsidR="00962559" w:rsidRDefault="00962559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ED0691" w:rsidRDefault="00ED0691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962559" w:rsidRDefault="00962559" w:rsidP="009E095B">
      <w:pPr>
        <w:rPr>
          <w:rFonts w:ascii="Arial" w:hAnsi="Arial" w:cs="Arial"/>
          <w:u w:val="single"/>
        </w:rPr>
      </w:pPr>
    </w:p>
    <w:p w:rsidR="00CE3965" w:rsidRDefault="00CE3965" w:rsidP="00C66DD0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:rsidR="00C66DD0" w:rsidRPr="00FC0FEF" w:rsidRDefault="00C66DD0" w:rsidP="00C66DD0">
      <w:pPr>
        <w:autoSpaceDE w:val="0"/>
        <w:autoSpaceDN w:val="0"/>
        <w:adjustRightInd w:val="0"/>
        <w:rPr>
          <w:rFonts w:ascii="Arial" w:hAnsi="Arial" w:cs="Arial"/>
          <w:b/>
        </w:rPr>
      </w:pPr>
      <w:bookmarkStart w:id="0" w:name="_GoBack"/>
      <w:bookmarkEnd w:id="0"/>
      <w:r w:rsidRPr="00FC0FEF">
        <w:rPr>
          <w:rFonts w:ascii="Arial" w:hAnsi="Arial" w:cs="Arial"/>
          <w:b/>
        </w:rPr>
        <w:lastRenderedPageBreak/>
        <w:t xml:space="preserve">Figure </w:t>
      </w:r>
      <w:r w:rsidR="00E22D49">
        <w:rPr>
          <w:rFonts w:ascii="Arial" w:hAnsi="Arial" w:cs="Arial"/>
          <w:b/>
        </w:rPr>
        <w:t>S</w:t>
      </w:r>
      <w:r w:rsidRPr="00FC0FEF">
        <w:rPr>
          <w:rFonts w:ascii="Arial" w:hAnsi="Arial" w:cs="Arial"/>
          <w:b/>
        </w:rPr>
        <w:t>1 – Flow Chart of Patient Inclusion</w:t>
      </w:r>
    </w:p>
    <w:p w:rsidR="00C66DD0" w:rsidRDefault="00C66DD0" w:rsidP="009E095B"/>
    <w:p w:rsidR="00C66DD0" w:rsidRPr="009E095B" w:rsidRDefault="00C66DD0" w:rsidP="009E095B">
      <w:r>
        <w:rPr>
          <w:rFonts w:ascii="Arial" w:hAnsi="Arial" w:cs="Arial"/>
          <w:noProof/>
          <w:u w:val="single"/>
          <w:lang w:val="en-PH" w:eastAsia="en-PH"/>
        </w:rPr>
        <w:drawing>
          <wp:inline distT="0" distB="0" distL="0" distR="0">
            <wp:extent cx="5943600" cy="448586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-624"/>
                    <a:stretch/>
                  </pic:blipFill>
                  <pic:spPr bwMode="auto">
                    <a:xfrm>
                      <a:off x="0" y="0"/>
                      <a:ext cx="5943600" cy="448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E095B" w:rsidRPr="009E095B" w:rsidRDefault="009E095B" w:rsidP="009E095B"/>
    <w:p w:rsidR="00A55A87" w:rsidRDefault="00A55A87"/>
    <w:sectPr w:rsidR="00A55A87" w:rsidSect="004A1679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E095B"/>
    <w:rsid w:val="00020A9A"/>
    <w:rsid w:val="000629AC"/>
    <w:rsid w:val="00111658"/>
    <w:rsid w:val="001A0E60"/>
    <w:rsid w:val="001E2C28"/>
    <w:rsid w:val="002D55DD"/>
    <w:rsid w:val="002E399B"/>
    <w:rsid w:val="00307099"/>
    <w:rsid w:val="00352D01"/>
    <w:rsid w:val="00392B48"/>
    <w:rsid w:val="00474D0C"/>
    <w:rsid w:val="004E13AE"/>
    <w:rsid w:val="004F215E"/>
    <w:rsid w:val="00545871"/>
    <w:rsid w:val="00830145"/>
    <w:rsid w:val="00962559"/>
    <w:rsid w:val="009E095B"/>
    <w:rsid w:val="00A40853"/>
    <w:rsid w:val="00A55A87"/>
    <w:rsid w:val="00C2384A"/>
    <w:rsid w:val="00C66DD0"/>
    <w:rsid w:val="00CC10F2"/>
    <w:rsid w:val="00CE3965"/>
    <w:rsid w:val="00CF3883"/>
    <w:rsid w:val="00E22D49"/>
    <w:rsid w:val="00E451B0"/>
    <w:rsid w:val="00ED0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1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095B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74D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D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D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D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D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D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39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095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74D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D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D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D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D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D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39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CCA95-7BEC-44EA-A94E-74E0E15E0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7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Bhatraju, Pavan</dc:creator>
  <cp:lastModifiedBy>ekong</cp:lastModifiedBy>
  <cp:revision>11</cp:revision>
  <dcterms:created xsi:type="dcterms:W3CDTF">2016-09-06T18:01:00Z</dcterms:created>
  <dcterms:modified xsi:type="dcterms:W3CDTF">2016-11-02T08:41:00Z</dcterms:modified>
</cp:coreProperties>
</file>