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-Accent1"/>
        <w:tblpPr w:leftFromText="141" w:rightFromText="141" w:vertAnchor="text" w:horzAnchor="margin" w:tblpXSpec="center" w:tblpY="-524"/>
        <w:tblW w:w="16019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2190"/>
        <w:gridCol w:w="743"/>
        <w:gridCol w:w="993"/>
      </w:tblGrid>
      <w:tr w:rsidR="00620CCD" w:rsidTr="00620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9" w:type="dxa"/>
            <w:gridSpan w:val="5"/>
          </w:tcPr>
          <w:p w:rsidR="00620CCD" w:rsidRPr="00E13CB4" w:rsidRDefault="00620CCD" w:rsidP="00575C73">
            <w:pPr>
              <w:rPr>
                <w:rFonts w:cs="Calibri"/>
                <w:color w:val="auto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 w:val="0"/>
                <w:color w:val="auto"/>
                <w:sz w:val="20"/>
                <w:szCs w:val="20"/>
                <w:lang w:val="en-US"/>
              </w:rPr>
              <w:t xml:space="preserve">ADDITIONAL FILE </w:t>
            </w:r>
            <w:r w:rsidR="00575C73">
              <w:rPr>
                <w:rFonts w:cs="Calibri"/>
                <w:b w:val="0"/>
                <w:color w:val="auto"/>
                <w:sz w:val="20"/>
                <w:szCs w:val="20"/>
                <w:lang w:val="en-US"/>
              </w:rPr>
              <w:t>4</w:t>
            </w:r>
            <w:r w:rsidRPr="00E13CB4">
              <w:rPr>
                <w:rFonts w:cs="Calibri"/>
                <w:color w:val="auto"/>
                <w:sz w:val="20"/>
                <w:szCs w:val="20"/>
                <w:lang w:val="en-US"/>
              </w:rPr>
              <w:t xml:space="preserve">: Simplified SIGN methodology checklist of COHORT studies </w:t>
            </w: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620CCD" w:rsidRPr="00E13CB4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Type of bias</w:t>
            </w:r>
          </w:p>
        </w:tc>
        <w:tc>
          <w:tcPr>
            <w:tcW w:w="12190" w:type="dxa"/>
          </w:tcPr>
          <w:p w:rsidR="00620CCD" w:rsidRPr="00620CCD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 w:rsidRPr="00620CCD">
              <w:rPr>
                <w:rFonts w:cs="Calibri"/>
                <w:sz w:val="20"/>
                <w:szCs w:val="20"/>
                <w:lang w:val="en-US"/>
              </w:rPr>
              <w:t>Applicability and consideration for our review</w:t>
            </w:r>
          </w:p>
        </w:tc>
        <w:tc>
          <w:tcPr>
            <w:tcW w:w="1736" w:type="dxa"/>
            <w:gridSpan w:val="2"/>
          </w:tcPr>
          <w:p w:rsidR="00620CCD" w:rsidRPr="00620CCD" w:rsidRDefault="00620CCD" w:rsidP="004B23C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 w:rsidRPr="00620CCD">
              <w:rPr>
                <w:rFonts w:cs="Calibri"/>
                <w:sz w:val="20"/>
                <w:szCs w:val="20"/>
                <w:lang w:val="en-US"/>
              </w:rPr>
              <w:t>Final Checklist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sz w:val="20"/>
                <w:szCs w:val="20"/>
                <w:u w:val="dotted"/>
                <w:lang w:val="en-US"/>
              </w:rPr>
              <w:t xml:space="preserve">The study addresses an appropriate and clearly focused question: </w:t>
            </w: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Pre-selection process</w:t>
            </w:r>
            <w:r>
              <w:rPr>
                <w:rFonts w:cs="Calibri"/>
                <w:b/>
                <w:sz w:val="20"/>
                <w:szCs w:val="20"/>
                <w:u w:val="dotted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Selection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The groups studied are selected from source populations that are comparable in all aspects other than the factor under investigation.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“YES” if random / consecutive selection of patients (with in- and exclusion criteria).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1.3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Selection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The study indicates how many of the people asked to take part in each of the groups being studied: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>(Mostly) not applicable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1.4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Performance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sz w:val="20"/>
                <w:szCs w:val="20"/>
                <w:u w:val="dotted"/>
                <w:lang w:val="en-US"/>
              </w:rPr>
              <w:t>The likelihood that some subjects might have the outcome at the time of enrolment is assessed and taken into account in the analysis?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 “YES” if delirium was (indirectly) assessed at time of enrolment.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1.5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Attrition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What percentage of individuals or clusters recruited into each arm of the study dropped out before the study was completed?</w:t>
            </w:r>
          </w:p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Not applicable in most cohort studies due to relatively short follow-up.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trike/>
                <w:sz w:val="20"/>
                <w:szCs w:val="20"/>
                <w:lang w:val="en-US"/>
              </w:rPr>
            </w:pP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1.6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Attrition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Comparison is made between full participants and those lost to follow-up, by exposure status.</w:t>
            </w:r>
          </w:p>
          <w:p w:rsidR="00620CCD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Not applicable in most cohort studies due to relatively short follow-up.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1.7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sz w:val="20"/>
                <w:szCs w:val="20"/>
                <w:u w:val="dotted"/>
                <w:lang w:val="en-US"/>
              </w:rPr>
              <w:t>The outcomes are clearly defined.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“YES” if endpoints or outcomes were clearly specified and used in analysis.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“NO” if patients have short follow-up or missing essential follow-up days.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1.8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sz w:val="20"/>
                <w:szCs w:val="20"/>
                <w:u w:val="dotted"/>
                <w:lang w:val="en-US"/>
              </w:rPr>
              <w:t>The assessment of outcome is made blind to exposure status.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“Not Applicable” when essential risk factors are possible to be blinded; e.g. age. “NO” if assessors could have been blinded for essential risk factors, but were not, e.g. cognitive / executive tests or before-after studies. 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1.9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Where blinding is not possible, there is some recognition th</w:t>
            </w:r>
            <w:bookmarkStart w:id="0" w:name="_GoBack"/>
            <w:bookmarkEnd w:id="0"/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at knowledge of exposure status could have influenced the assessment of outcome.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The measurement of exposure is reliable and if possible validated.</w:t>
            </w:r>
          </w:p>
          <w:p w:rsidR="00620CCD" w:rsidRDefault="00620CCD" w:rsidP="004B23C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“</w:t>
            </w:r>
            <w:r>
              <w:rPr>
                <w:rFonts w:cs="Calibri"/>
                <w:sz w:val="20"/>
                <w:szCs w:val="20"/>
                <w:lang w:val="en-US"/>
              </w:rPr>
              <w:t>YES” if measurement / registration of (risk) factors was clearly defined. ”NO” if essential exposure is measured with definition or not validated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Outcome assessment is validated and reliable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cs="Calibri"/>
                <w:sz w:val="20"/>
                <w:szCs w:val="20"/>
                <w:lang w:val="en-US"/>
              </w:rPr>
              <w:t>Pre-selection: usage of DSM validated delirium assessment tool.</w:t>
            </w:r>
          </w:p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“YES” if the assessment tool was validated in the specific population; e.g. CAM-ICU instead of CAM in ventilated patients. 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Detection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Exposure level or prognostic factor is assessed more than once.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br/>
              <w:t>‘Not applicable’ for most factors. “YES” if risk factors can be assessed at multiple time points, e.g. laboratory values and done.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 xml:space="preserve">1.13 / </w:t>
            </w:r>
          </w:p>
          <w:p w:rsidR="00620CCD" w:rsidRPr="00E13CB4" w:rsidRDefault="00620CCD" w:rsidP="004B23C4">
            <w:pPr>
              <w:rPr>
                <w:rFonts w:cs="Calibri"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418" w:type="dxa"/>
          </w:tcPr>
          <w:p w:rsidR="00620CCD" w:rsidRPr="00E13CB4" w:rsidRDefault="00620CCD" w:rsidP="004B23C4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Statistical</w:t>
            </w:r>
          </w:p>
          <w:p w:rsidR="00620CCD" w:rsidRPr="00E13CB4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 w:rsidRPr="00E13CB4">
              <w:rPr>
                <w:rFonts w:cs="Calibri"/>
                <w:b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2933" w:type="dxa"/>
            <w:gridSpan w:val="2"/>
          </w:tcPr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i/>
                <w:sz w:val="20"/>
                <w:szCs w:val="20"/>
                <w:u w:val="dotted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u w:val="dotted"/>
                <w:lang w:val="en-US"/>
              </w:rPr>
              <w:t>The main potential confounders are identified and taken into account in the design and analysis. Have confidence intervals been provided?</w:t>
            </w:r>
          </w:p>
          <w:p w:rsidR="00620CCD" w:rsidRDefault="00620CCD" w:rsidP="004B23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 Pre-selection process; “YES” if essential confounders have been taken into account. </w:t>
            </w:r>
            <w:proofErr w:type="gramStart"/>
            <w:r>
              <w:rPr>
                <w:rFonts w:cs="Calibri"/>
                <w:sz w:val="20"/>
                <w:szCs w:val="20"/>
                <w:lang w:val="en-US"/>
              </w:rPr>
              <w:t>“NO” if significant differences in characteristics have not been taken in to account</w:t>
            </w:r>
            <w:proofErr w:type="gramEnd"/>
            <w:r>
              <w:rPr>
                <w:rFonts w:cs="Calibri"/>
                <w:sz w:val="20"/>
                <w:szCs w:val="20"/>
                <w:lang w:val="en-US"/>
              </w:rPr>
              <w:t xml:space="preserve"> or certain variables in the model could be consequence of delirium instead of cause. </w:t>
            </w:r>
          </w:p>
        </w:tc>
        <w:tc>
          <w:tcPr>
            <w:tcW w:w="993" w:type="dxa"/>
          </w:tcPr>
          <w:p w:rsidR="00620CCD" w:rsidRDefault="00620CCD" w:rsidP="004B23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X</w:t>
            </w:r>
          </w:p>
        </w:tc>
      </w:tr>
      <w:tr w:rsidR="00620CCD" w:rsidTr="00620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9" w:type="dxa"/>
            <w:gridSpan w:val="5"/>
          </w:tcPr>
          <w:p w:rsidR="00620CCD" w:rsidRDefault="00620CCD" w:rsidP="004B23C4">
            <w:pPr>
              <w:jc w:val="both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Adapted from: Scottish Intercollegiate Guidelines Network. Checklist 3 – Cohort studies. Version 2.0. Edinburgh 2012. http://www.sign.ac.uk/methodology/checklists.html</w:t>
            </w:r>
          </w:p>
        </w:tc>
      </w:tr>
    </w:tbl>
    <w:p w:rsidR="006628E4" w:rsidRPr="00620CCD" w:rsidRDefault="00D4022A">
      <w:pPr>
        <w:rPr>
          <w:lang w:val="en-US"/>
        </w:rPr>
      </w:pPr>
    </w:p>
    <w:sectPr w:rsidR="006628E4" w:rsidRPr="00620CCD" w:rsidSect="00620CCD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trackRevisions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0CCD"/>
    <w:rsid w:val="00030FD5"/>
    <w:rsid w:val="00120703"/>
    <w:rsid w:val="00314D21"/>
    <w:rsid w:val="00575C73"/>
    <w:rsid w:val="00620CCD"/>
    <w:rsid w:val="00B25554"/>
    <w:rsid w:val="00D4022A"/>
    <w:rsid w:val="00E13CB4"/>
    <w:rsid w:val="00F9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CCD"/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620C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C73"/>
    <w:rPr>
      <w:rFonts w:ascii="Tahoma" w:eastAsia="Calibri" w:hAnsi="Tahoma" w:cs="Tahoma"/>
      <w:sz w:val="16"/>
      <w:szCs w:val="1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Mikail Gögenur</dc:creator>
  <cp:lastModifiedBy>Calumpang, Mario Jade</cp:lastModifiedBy>
  <cp:revision>8</cp:revision>
  <dcterms:created xsi:type="dcterms:W3CDTF">2016-06-11T09:09:00Z</dcterms:created>
  <dcterms:modified xsi:type="dcterms:W3CDTF">2017-01-12T22:14:00Z</dcterms:modified>
</cp:coreProperties>
</file>