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F3F8A" w14:textId="77777777" w:rsidR="004358AB" w:rsidRPr="00021CB6" w:rsidRDefault="004358AB" w:rsidP="009C77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lang w:val="en-US" w:eastAsia="zh-CN"/>
        </w:rPr>
      </w:pPr>
    </w:p>
    <w:p w14:paraId="7D3538C4" w14:textId="77777777" w:rsidR="006F026A" w:rsidRPr="00021CB6" w:rsidRDefault="006F026A" w:rsidP="009C77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lang w:val="en-US" w:eastAsia="zh-CN"/>
        </w:rPr>
      </w:pPr>
      <w:r w:rsidRPr="00021CB6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219B40C7" wp14:editId="5C10C791">
            <wp:extent cx="3781044" cy="2700528"/>
            <wp:effectExtent l="19050" t="0" r="0" b="0"/>
            <wp:docPr id="2" name="图片 0" descr="mis au point esmodos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s au point esmodose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1044" cy="270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FBAC6" w14:textId="77777777" w:rsidR="002A5F5C" w:rsidRPr="00B15FD5" w:rsidRDefault="006F026A" w:rsidP="00B15FD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B15FD5">
        <w:rPr>
          <w:rFonts w:ascii="Times New Roman" w:hAnsi="Times New Roman" w:cs="Times New Roman"/>
          <w:b/>
          <w:sz w:val="22"/>
          <w:szCs w:val="22"/>
          <w:lang w:val="en-US"/>
        </w:rPr>
        <w:t>Figure S</w:t>
      </w:r>
      <w:r w:rsidRPr="00B15FD5">
        <w:rPr>
          <w:rFonts w:ascii="Times New Roman" w:hAnsi="Times New Roman" w:cs="Times New Roman"/>
          <w:b/>
          <w:sz w:val="22"/>
          <w:szCs w:val="22"/>
          <w:lang w:val="en-US" w:eastAsia="zh-CN"/>
        </w:rPr>
        <w:t>1</w:t>
      </w:r>
      <w:r w:rsidRPr="00B15FD5">
        <w:rPr>
          <w:rFonts w:ascii="Times New Roman" w:hAnsi="Times New Roman" w:cs="Times New Roman"/>
          <w:b/>
          <w:sz w:val="22"/>
          <w:szCs w:val="22"/>
          <w:lang w:val="en-US"/>
        </w:rPr>
        <w:t>.</w:t>
      </w:r>
      <w:r w:rsidRPr="00B15F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gramStart"/>
      <w:r w:rsidRPr="00B15FD5">
        <w:rPr>
          <w:rFonts w:ascii="Times New Roman" w:hAnsi="Times New Roman" w:cs="Times New Roman"/>
          <w:b/>
          <w:sz w:val="22"/>
          <w:szCs w:val="22"/>
          <w:lang w:val="en-US"/>
        </w:rPr>
        <w:t xml:space="preserve">Effect of </w:t>
      </w:r>
      <w:r w:rsidR="00DA2C22" w:rsidRPr="00B15FD5">
        <w:rPr>
          <w:rFonts w:ascii="Times New Roman" w:hAnsi="Times New Roman" w:cs="Times New Roman"/>
          <w:b/>
          <w:sz w:val="22"/>
          <w:szCs w:val="22"/>
          <w:lang w:val="en-US"/>
        </w:rPr>
        <w:t>different</w:t>
      </w:r>
      <w:r w:rsidRPr="00B15FD5">
        <w:rPr>
          <w:rFonts w:ascii="Times New Roman" w:hAnsi="Times New Roman" w:cs="Times New Roman"/>
          <w:b/>
          <w:sz w:val="22"/>
          <w:szCs w:val="22"/>
          <w:lang w:val="en-US" w:eastAsia="zh-CN"/>
        </w:rPr>
        <w:t xml:space="preserve"> dose</w:t>
      </w:r>
      <w:r w:rsidR="00DA2C22" w:rsidRPr="00B15FD5">
        <w:rPr>
          <w:rFonts w:ascii="Times New Roman" w:hAnsi="Times New Roman" w:cs="Times New Roman"/>
          <w:b/>
          <w:sz w:val="22"/>
          <w:szCs w:val="22"/>
          <w:lang w:val="en-US" w:eastAsia="zh-CN"/>
        </w:rPr>
        <w:t>s</w:t>
      </w:r>
      <w:r w:rsidR="00F0708D">
        <w:rPr>
          <w:rFonts w:ascii="Times New Roman" w:hAnsi="Times New Roman" w:cs="Times New Roman"/>
          <w:b/>
          <w:sz w:val="22"/>
          <w:szCs w:val="22"/>
          <w:lang w:val="en-US" w:eastAsia="zh-CN"/>
        </w:rPr>
        <w:t xml:space="preserve"> of </w:t>
      </w:r>
      <w:r w:rsidR="00F0708D" w:rsidRPr="00355ABA">
        <w:rPr>
          <w:rFonts w:ascii="Times New Roman" w:hAnsi="Times New Roman" w:cs="Times New Roman" w:hint="eastAsia"/>
          <w:b/>
          <w:sz w:val="22"/>
          <w:szCs w:val="22"/>
          <w:highlight w:val="yellow"/>
          <w:lang w:val="en-US" w:eastAsia="zh-CN"/>
        </w:rPr>
        <w:t>e</w:t>
      </w:r>
      <w:r w:rsidRPr="00355ABA">
        <w:rPr>
          <w:rFonts w:ascii="Times New Roman" w:hAnsi="Times New Roman" w:cs="Times New Roman"/>
          <w:b/>
          <w:sz w:val="22"/>
          <w:szCs w:val="22"/>
          <w:highlight w:val="yellow"/>
          <w:lang w:val="en-US" w:eastAsia="zh-CN"/>
        </w:rPr>
        <w:t>smolol</w:t>
      </w:r>
      <w:r w:rsidRPr="00B15FD5">
        <w:rPr>
          <w:rFonts w:ascii="Times New Roman" w:hAnsi="Times New Roman" w:cs="Times New Roman"/>
          <w:b/>
          <w:sz w:val="22"/>
          <w:szCs w:val="22"/>
          <w:lang w:val="en-US"/>
        </w:rPr>
        <w:t xml:space="preserve"> on heart rate in septic rats.</w:t>
      </w:r>
      <w:proofErr w:type="gramEnd"/>
      <w:r w:rsidRPr="00B15F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B15FD5">
        <w:rPr>
          <w:rFonts w:ascii="Times New Roman" w:hAnsi="Times New Roman" w:cs="Times New Roman"/>
          <w:sz w:val="22"/>
          <w:szCs w:val="22"/>
          <w:lang w:val="en-US" w:eastAsia="zh-CN"/>
        </w:rPr>
        <w:t>Esmolol was infused four hours after onset of CLP at 18 and 5 mg.kg</w:t>
      </w:r>
      <w:r w:rsidRPr="00B15FD5">
        <w:rPr>
          <w:rFonts w:ascii="Times New Roman" w:hAnsi="Times New Roman" w:cs="Times New Roman"/>
          <w:sz w:val="22"/>
          <w:szCs w:val="22"/>
          <w:vertAlign w:val="superscript"/>
          <w:lang w:val="en-US" w:eastAsia="zh-CN"/>
        </w:rPr>
        <w:t>-1</w:t>
      </w:r>
      <w:r w:rsidRPr="00B15FD5">
        <w:rPr>
          <w:rFonts w:ascii="Times New Roman" w:hAnsi="Times New Roman" w:cs="Times New Roman"/>
          <w:sz w:val="22"/>
          <w:szCs w:val="22"/>
          <w:lang w:val="en-US" w:eastAsia="zh-CN"/>
        </w:rPr>
        <w:t>.h</w:t>
      </w:r>
      <w:r w:rsidRPr="00B15FD5">
        <w:rPr>
          <w:rFonts w:ascii="Times New Roman" w:hAnsi="Times New Roman" w:cs="Times New Roman"/>
          <w:sz w:val="22"/>
          <w:szCs w:val="22"/>
          <w:vertAlign w:val="superscript"/>
          <w:lang w:val="en-US" w:eastAsia="zh-CN"/>
        </w:rPr>
        <w:t>-1</w:t>
      </w:r>
      <w:r w:rsidRPr="00B15FD5">
        <w:rPr>
          <w:rFonts w:ascii="Times New Roman" w:hAnsi="Times New Roman" w:cs="Times New Roman"/>
          <w:sz w:val="22"/>
          <w:szCs w:val="22"/>
          <w:lang w:val="en-US" w:eastAsia="zh-CN"/>
        </w:rPr>
        <w:t>.</w:t>
      </w:r>
      <w:r w:rsidRPr="00B15FD5">
        <w:rPr>
          <w:rFonts w:ascii="Times New Roman" w:hAnsi="Times New Roman" w:cs="Times New Roman"/>
          <w:sz w:val="22"/>
          <w:szCs w:val="22"/>
          <w:lang w:val="en-US"/>
        </w:rPr>
        <w:t xml:space="preserve"> Heart rate was measured by echocardiography at 18 hours after onset of CLP. Data are expressed as median and interquartile range.</w:t>
      </w:r>
      <w:r w:rsidRPr="00B15FD5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CLP, n=8; CLP+E-18, n=4; CLP+E-5, n=4.</w:t>
      </w:r>
      <w:r w:rsidRPr="00B15F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177B2D" w:rsidRPr="00B15FD5">
        <w:rPr>
          <w:rFonts w:ascii="Times New Roman" w:hAnsi="Times New Roman" w:cs="Times New Roman"/>
          <w:sz w:val="22"/>
          <w:szCs w:val="22"/>
          <w:lang w:val="en-US"/>
        </w:rPr>
        <w:t>Data of the CLP group were extrac</w:t>
      </w:r>
      <w:r w:rsidR="00DA2C22" w:rsidRPr="00B15FD5">
        <w:rPr>
          <w:rFonts w:ascii="Times New Roman" w:hAnsi="Times New Roman" w:cs="Times New Roman"/>
          <w:sz w:val="22"/>
          <w:szCs w:val="22"/>
          <w:lang w:val="en-US"/>
        </w:rPr>
        <w:t>ted from our previous study on</w:t>
      </w:r>
      <w:r w:rsidR="00DA2C22" w:rsidRPr="00F0708D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="00F0708D" w:rsidRPr="00355ABA">
        <w:rPr>
          <w:rFonts w:ascii="Times New Roman" w:hAnsi="Times New Roman" w:cs="Times New Roman" w:hint="eastAsia"/>
          <w:sz w:val="22"/>
          <w:szCs w:val="22"/>
          <w:highlight w:val="yellow"/>
          <w:lang w:val="en-US" w:eastAsia="zh-CN"/>
        </w:rPr>
        <w:t>i</w:t>
      </w:r>
      <w:r w:rsidR="00177B2D" w:rsidRPr="00355ABA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vabradine</w:t>
      </w:r>
      <w:proofErr w:type="spellEnd"/>
      <w:r w:rsidR="00A42C38" w:rsidRPr="00F0708D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A42C38" w:rsidRPr="00B15FD5">
        <w:rPr>
          <w:rFonts w:ascii="Times New Roman" w:hAnsi="Times New Roman" w:cs="Times New Roman"/>
          <w:sz w:val="22"/>
          <w:szCs w:val="22"/>
          <w:lang w:val="en-US"/>
        </w:rPr>
        <w:t>(1)</w:t>
      </w:r>
      <w:r w:rsidR="00177B2D" w:rsidRPr="00B15FD5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="002A5F5C" w:rsidRPr="00B15FD5">
        <w:rPr>
          <w:rFonts w:ascii="Times New Roman" w:hAnsi="Times New Roman" w:cs="Times New Roman"/>
          <w:sz w:val="22"/>
          <w:szCs w:val="22"/>
          <w:lang w:val="en-US"/>
        </w:rPr>
        <w:t>CPL: Cecal Puncture and Ligation.</w:t>
      </w:r>
    </w:p>
    <w:p w14:paraId="253D3CA3" w14:textId="77777777" w:rsidR="006F026A" w:rsidRPr="00B15FD5" w:rsidRDefault="006F026A" w:rsidP="00B15FD5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B15FD5">
        <w:rPr>
          <w:rFonts w:ascii="Times New Roman" w:hAnsi="Times New Roman" w:cs="Times New Roman"/>
          <w:sz w:val="22"/>
          <w:szCs w:val="22"/>
          <w:lang w:val="en-US"/>
        </w:rPr>
        <w:t>*Significant difference compared with the CLP group (P&lt;0.05).</w:t>
      </w:r>
    </w:p>
    <w:p w14:paraId="394BF2B0" w14:textId="77777777" w:rsidR="006F026A" w:rsidRDefault="006F026A" w:rsidP="009C77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lang w:val="en-US" w:eastAsia="zh-CN"/>
        </w:rPr>
      </w:pPr>
    </w:p>
    <w:p w14:paraId="31AA09A1" w14:textId="77777777" w:rsidR="00B15FD5" w:rsidRDefault="00B15FD5" w:rsidP="009C77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lang w:val="en-US" w:eastAsia="zh-CN"/>
        </w:rPr>
      </w:pPr>
    </w:p>
    <w:p w14:paraId="63402819" w14:textId="77777777" w:rsidR="00B15FD5" w:rsidRDefault="00B15FD5" w:rsidP="009C77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lang w:val="en-US" w:eastAsia="zh-CN"/>
        </w:rPr>
      </w:pPr>
      <w:r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0AC4E523" wp14:editId="3E9732ED">
            <wp:extent cx="5274310" cy="625538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5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F3348" w14:textId="77777777" w:rsidR="00B15FD5" w:rsidRPr="00B15FD5" w:rsidRDefault="00C70CCB" w:rsidP="00B15FD5">
      <w:pPr>
        <w:widowControl w:val="0"/>
        <w:autoSpaceDE w:val="0"/>
        <w:autoSpaceDN w:val="0"/>
        <w:spacing w:line="480" w:lineRule="auto"/>
        <w:jc w:val="both"/>
        <w:rPr>
          <w:rFonts w:ascii="Times New Roman" w:eastAsia="SimSun" w:hAnsi="Times New Roman" w:cs="Times New Roman"/>
          <w:sz w:val="22"/>
          <w:szCs w:val="22"/>
        </w:rPr>
      </w:pPr>
      <w:r w:rsidRPr="00355ABA">
        <w:rPr>
          <w:rFonts w:ascii="Times New Roman" w:eastAsia="SimSun" w:hAnsi="Times New Roman" w:cs="Times New Roman"/>
          <w:b/>
          <w:sz w:val="22"/>
          <w:szCs w:val="22"/>
          <w:highlight w:val="yellow"/>
        </w:rPr>
        <w:t>Figure S</w:t>
      </w:r>
      <w:r w:rsidRPr="00355ABA">
        <w:rPr>
          <w:rFonts w:ascii="Times New Roman" w:hAnsi="Times New Roman" w:cs="Times New Roman" w:hint="eastAsia"/>
          <w:b/>
          <w:sz w:val="22"/>
          <w:szCs w:val="22"/>
          <w:highlight w:val="yellow"/>
          <w:lang w:eastAsia="zh-CN"/>
        </w:rPr>
        <w:t>2</w:t>
      </w:r>
      <w:r w:rsidR="00B15FD5" w:rsidRPr="00B15FD5">
        <w:rPr>
          <w:rFonts w:ascii="Times New Roman" w:eastAsia="SimSun" w:hAnsi="Times New Roman" w:cs="Times New Roman"/>
          <w:b/>
          <w:sz w:val="22"/>
          <w:szCs w:val="22"/>
        </w:rPr>
        <w:t>. Messenger RNA (</w:t>
      </w:r>
      <w:proofErr w:type="spellStart"/>
      <w:r w:rsidR="00B15FD5" w:rsidRPr="00B15FD5">
        <w:rPr>
          <w:rFonts w:ascii="Times New Roman" w:eastAsia="SimSun" w:hAnsi="Times New Roman" w:cs="Times New Roman"/>
          <w:b/>
          <w:sz w:val="22"/>
          <w:szCs w:val="22"/>
        </w:rPr>
        <w:t>mRNA</w:t>
      </w:r>
      <w:proofErr w:type="spellEnd"/>
      <w:r w:rsidR="00B15FD5" w:rsidRPr="00B15FD5">
        <w:rPr>
          <w:rFonts w:ascii="Times New Roman" w:eastAsia="SimSun" w:hAnsi="Times New Roman" w:cs="Times New Roman"/>
          <w:b/>
          <w:sz w:val="22"/>
          <w:szCs w:val="22"/>
        </w:rPr>
        <w:t xml:space="preserve">) of </w:t>
      </w:r>
      <w:r w:rsidR="00B15FD5" w:rsidRPr="00B15FD5">
        <w:rPr>
          <w:rFonts w:ascii="Times New Roman" w:hAnsi="Times New Roman" w:cs="Times New Roman"/>
          <w:b/>
          <w:sz w:val="22"/>
          <w:szCs w:val="22"/>
        </w:rPr>
        <w:t>(A)</w:t>
      </w:r>
      <w:r w:rsidR="00B15FD5" w:rsidRPr="00B15FD5">
        <w:rPr>
          <w:rFonts w:ascii="Times New Roman" w:eastAsia="SimSun" w:hAnsi="Times New Roman" w:cs="Times New Roman"/>
          <w:b/>
          <w:sz w:val="22"/>
          <w:szCs w:val="22"/>
        </w:rPr>
        <w:t xml:space="preserve"> α1 </w:t>
      </w:r>
      <w:r w:rsidR="00B15FD5" w:rsidRPr="00B15FD5">
        <w:rPr>
          <w:rFonts w:ascii="Times New Roman" w:hAnsi="Times New Roman" w:cs="Times New Roman"/>
          <w:b/>
          <w:sz w:val="22"/>
          <w:szCs w:val="22"/>
        </w:rPr>
        <w:t xml:space="preserve">(B) β1 and (C) β2 </w:t>
      </w:r>
      <w:r w:rsidR="00B15FD5" w:rsidRPr="00B15FD5">
        <w:rPr>
          <w:rFonts w:ascii="Times New Roman" w:eastAsia="SimSun" w:hAnsi="Times New Roman" w:cs="Times New Roman"/>
          <w:b/>
          <w:sz w:val="22"/>
          <w:szCs w:val="22"/>
        </w:rPr>
        <w:t xml:space="preserve">-adrenoreceptors in </w:t>
      </w:r>
      <w:proofErr w:type="spellStart"/>
      <w:r w:rsidR="00B15FD5" w:rsidRPr="00B15FD5">
        <w:rPr>
          <w:rFonts w:ascii="Times New Roman" w:eastAsia="SimSun" w:hAnsi="Times New Roman" w:cs="Times New Roman"/>
          <w:b/>
          <w:sz w:val="22"/>
          <w:szCs w:val="22"/>
        </w:rPr>
        <w:t>thoracic</w:t>
      </w:r>
      <w:proofErr w:type="spellEnd"/>
      <w:r w:rsidR="00B15FD5" w:rsidRPr="00B15FD5">
        <w:rPr>
          <w:rFonts w:ascii="Times New Roman" w:eastAsia="SimSun" w:hAnsi="Times New Roman" w:cs="Times New Roman"/>
          <w:b/>
          <w:sz w:val="22"/>
          <w:szCs w:val="22"/>
        </w:rPr>
        <w:t xml:space="preserve"> </w:t>
      </w:r>
      <w:proofErr w:type="spellStart"/>
      <w:r w:rsidR="00B15FD5" w:rsidRPr="00B15FD5">
        <w:rPr>
          <w:rFonts w:ascii="Times New Roman" w:eastAsia="SimSun" w:hAnsi="Times New Roman" w:cs="Times New Roman"/>
          <w:b/>
          <w:sz w:val="22"/>
          <w:szCs w:val="22"/>
        </w:rPr>
        <w:t>aorta</w:t>
      </w:r>
      <w:proofErr w:type="spellEnd"/>
      <w:r w:rsidR="00B15FD5" w:rsidRPr="00B15FD5">
        <w:rPr>
          <w:rFonts w:ascii="Times New Roman" w:eastAsia="SimSun" w:hAnsi="Times New Roman" w:cs="Times New Roman"/>
          <w:b/>
          <w:sz w:val="22"/>
          <w:szCs w:val="22"/>
        </w:rPr>
        <w:t xml:space="preserve"> or </w:t>
      </w:r>
      <w:proofErr w:type="spellStart"/>
      <w:r w:rsidR="00B15FD5" w:rsidRPr="00B15FD5">
        <w:rPr>
          <w:rFonts w:ascii="Times New Roman" w:eastAsia="SimSun" w:hAnsi="Times New Roman" w:cs="Times New Roman"/>
          <w:b/>
          <w:sz w:val="22"/>
          <w:szCs w:val="22"/>
        </w:rPr>
        <w:t>heart</w:t>
      </w:r>
      <w:proofErr w:type="spellEnd"/>
      <w:r w:rsidR="00B15FD5" w:rsidRPr="00B15FD5">
        <w:rPr>
          <w:rFonts w:ascii="Times New Roman" w:eastAsia="SimSun" w:hAnsi="Times New Roman" w:cs="Times New Roman"/>
          <w:b/>
          <w:sz w:val="22"/>
          <w:szCs w:val="22"/>
        </w:rPr>
        <w:t>.</w:t>
      </w:r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In A-1, B-1 and C-1,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results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were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normalized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to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three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housekeeping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genes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(</w:t>
      </w:r>
      <w:r w:rsidR="00B15FD5" w:rsidRPr="00B15FD5">
        <w:rPr>
          <w:rFonts w:ascii="Times New Roman" w:hAnsi="Times New Roman" w:cs="Times New Roman"/>
          <w:sz w:val="22"/>
          <w:szCs w:val="22"/>
        </w:rPr>
        <w:t>β-</w:t>
      </w:r>
      <w:proofErr w:type="spellStart"/>
      <w:r w:rsidR="00B15FD5" w:rsidRPr="00B15FD5">
        <w:rPr>
          <w:rFonts w:ascii="Times New Roman" w:hAnsi="Times New Roman" w:cs="Times New Roman"/>
          <w:sz w:val="22"/>
          <w:szCs w:val="22"/>
        </w:rPr>
        <w:t>actin</w:t>
      </w:r>
      <w:proofErr w:type="spellEnd"/>
      <w:r w:rsidR="00B15FD5" w:rsidRPr="00B15FD5">
        <w:rPr>
          <w:rFonts w:ascii="Times New Roman" w:hAnsi="Times New Roman" w:cs="Times New Roman"/>
          <w:sz w:val="22"/>
          <w:szCs w:val="22"/>
        </w:rPr>
        <w:t xml:space="preserve">, GAPDH and RP29S). In A-2, B-2 and C-2, </w:t>
      </w:r>
      <w:proofErr w:type="spellStart"/>
      <w:r w:rsidR="00B15FD5" w:rsidRPr="00B15FD5">
        <w:rPr>
          <w:rFonts w:ascii="Times New Roman" w:hAnsi="Times New Roman" w:cs="Times New Roman"/>
          <w:sz w:val="22"/>
          <w:szCs w:val="22"/>
        </w:rPr>
        <w:t>r</w:t>
      </w:r>
      <w:r w:rsidR="00B15FD5" w:rsidRPr="00B15FD5">
        <w:rPr>
          <w:rFonts w:ascii="Times New Roman" w:eastAsia="SimSun" w:hAnsi="Times New Roman" w:cs="Times New Roman"/>
          <w:sz w:val="22"/>
          <w:szCs w:val="22"/>
        </w:rPr>
        <w:t>esults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were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first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normalized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to the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three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housekeeping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genes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and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thereafter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to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sham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expression,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which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was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set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at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1. Data are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expressed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as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median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± interquartile range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deviation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.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Upper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edges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of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error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bars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represent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the </w:t>
      </w:r>
      <w:r w:rsidR="00B15FD5" w:rsidRPr="00B15FD5">
        <w:rPr>
          <w:rFonts w:ascii="Times New Roman" w:eastAsia="SimSun" w:hAnsi="Times New Roman" w:cs="Times New Roman"/>
          <w:sz w:val="22"/>
          <w:szCs w:val="22"/>
        </w:rPr>
        <w:lastRenderedPageBreak/>
        <w:t xml:space="preserve">75th percentile in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each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group. </w:t>
      </w:r>
      <w:r w:rsidR="00B15FD5" w:rsidRPr="00B15FD5">
        <w:rPr>
          <w:rFonts w:ascii="Times New Roman" w:hAnsi="Times New Roman" w:cs="Times New Roman"/>
          <w:sz w:val="22"/>
          <w:szCs w:val="22"/>
        </w:rPr>
        <w:t>β1 and β2</w:t>
      </w:r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-adrenoreceptor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mRNA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in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heart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: CLP, n=7; all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other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groups, n=8. α1-adrenoreceptor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mRNA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in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thoracic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aorta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: Sham, n=7; CLP+E-1, n=7; all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other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groups, n=8. * p &lt; 0.05. CLP = cecal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ligation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 xml:space="preserve"> and </w:t>
      </w:r>
      <w:proofErr w:type="spellStart"/>
      <w:r w:rsidR="00B15FD5" w:rsidRPr="00B15FD5">
        <w:rPr>
          <w:rFonts w:ascii="Times New Roman" w:eastAsia="SimSun" w:hAnsi="Times New Roman" w:cs="Times New Roman"/>
          <w:sz w:val="22"/>
          <w:szCs w:val="22"/>
        </w:rPr>
        <w:t>puncture</w:t>
      </w:r>
      <w:proofErr w:type="spellEnd"/>
      <w:r w:rsidR="00B15FD5" w:rsidRPr="00B15FD5">
        <w:rPr>
          <w:rFonts w:ascii="Times New Roman" w:eastAsia="SimSun" w:hAnsi="Times New Roman" w:cs="Times New Roman"/>
          <w:sz w:val="22"/>
          <w:szCs w:val="22"/>
        </w:rPr>
        <w:t>.</w:t>
      </w:r>
    </w:p>
    <w:p w14:paraId="0C6F0FBA" w14:textId="77777777" w:rsidR="00B15FD5" w:rsidRPr="00B15FD5" w:rsidRDefault="00B15FD5" w:rsidP="009C77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sz w:val="22"/>
          <w:szCs w:val="22"/>
          <w:lang w:val="en-US" w:eastAsia="zh-CN"/>
        </w:rPr>
      </w:pPr>
    </w:p>
    <w:p w14:paraId="1BBAF963" w14:textId="77777777" w:rsidR="00A42C38" w:rsidRPr="005C794E" w:rsidRDefault="00B15FD5" w:rsidP="009C77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5C794E">
        <w:rPr>
          <w:rFonts w:ascii="Times New Roman" w:hAnsi="Times New Roman" w:cs="Times New Roman"/>
          <w:noProof/>
          <w:sz w:val="22"/>
          <w:szCs w:val="22"/>
        </w:rPr>
        <w:t>Reference</w:t>
      </w:r>
    </w:p>
    <w:p w14:paraId="6EFE01E2" w14:textId="77777777" w:rsidR="00A42C38" w:rsidRPr="00D219C8" w:rsidRDefault="00A42C38" w:rsidP="009C77F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D219C8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1. </w:t>
      </w:r>
      <w:r w:rsidR="003D442A" w:rsidRPr="00D219C8">
        <w:rPr>
          <w:rFonts w:ascii="Times New Roman" w:hAnsi="Times New Roman" w:cs="Times New Roman"/>
          <w:noProof/>
          <w:sz w:val="22"/>
          <w:szCs w:val="22"/>
        </w:rPr>
        <w:t>Wei C, Kattani NA, Louis H,</w:t>
      </w:r>
      <w:r w:rsidR="00D219C8">
        <w:rPr>
          <w:rFonts w:ascii="Times New Roman" w:hAnsi="Times New Roman" w:cs="Times New Roman"/>
          <w:noProof/>
          <w:sz w:val="22"/>
          <w:szCs w:val="22"/>
        </w:rPr>
        <w:t xml:space="preserve"> Albuisson E, Levy B, Kimmoun A.</w:t>
      </w:r>
      <w:r w:rsidR="003D442A" w:rsidRPr="00D219C8">
        <w:rPr>
          <w:rFonts w:ascii="Times New Roman" w:hAnsi="Times New Roman" w:cs="Times New Roman"/>
          <w:noProof/>
          <w:sz w:val="22"/>
          <w:szCs w:val="22"/>
        </w:rPr>
        <w:t xml:space="preserve"> If Channel Inhibition with Ivabradine Does not Improve Cardiac and Vascular Function in Experimental Septic Shock. </w:t>
      </w:r>
      <w:r w:rsidR="00D219C8">
        <w:rPr>
          <w:rFonts w:ascii="Times New Roman" w:hAnsi="Times New Roman" w:cs="Times New Roman"/>
          <w:noProof/>
          <w:sz w:val="22"/>
          <w:szCs w:val="22"/>
          <w:highlight w:val="yellow"/>
        </w:rPr>
        <w:t>Shock. 2016;46</w:t>
      </w:r>
      <w:r w:rsidR="005C794E" w:rsidRPr="00D219C8">
        <w:rPr>
          <w:rFonts w:ascii="Times New Roman" w:hAnsi="Times New Roman" w:cs="Times New Roman"/>
          <w:noProof/>
          <w:sz w:val="22"/>
          <w:szCs w:val="22"/>
          <w:highlight w:val="yellow"/>
        </w:rPr>
        <w:t>:297-303</w:t>
      </w:r>
      <w:r w:rsidR="00D219C8">
        <w:rPr>
          <w:rFonts w:ascii="Times New Roman" w:hAnsi="Times New Roman" w:cs="Times New Roman"/>
          <w:noProof/>
          <w:sz w:val="22"/>
          <w:szCs w:val="22"/>
        </w:rPr>
        <w:t>.</w:t>
      </w:r>
      <w:bookmarkStart w:id="0" w:name="_GoBack"/>
      <w:bookmarkEnd w:id="0"/>
    </w:p>
    <w:sectPr w:rsidR="00A42C38" w:rsidRPr="00D219C8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5067B9" w14:textId="77777777" w:rsidR="00273DEC" w:rsidRDefault="00273DEC" w:rsidP="009C77FD">
      <w:r>
        <w:separator/>
      </w:r>
    </w:p>
  </w:endnote>
  <w:endnote w:type="continuationSeparator" w:id="0">
    <w:p w14:paraId="248E0947" w14:textId="77777777" w:rsidR="00273DEC" w:rsidRDefault="00273DEC" w:rsidP="009C7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SimSun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98550" w14:textId="77777777" w:rsidR="00273DEC" w:rsidRDefault="00273DEC" w:rsidP="009C77FD">
      <w:r>
        <w:separator/>
      </w:r>
    </w:p>
  </w:footnote>
  <w:footnote w:type="continuationSeparator" w:id="0">
    <w:p w14:paraId="249BFE24" w14:textId="77777777" w:rsidR="00273DEC" w:rsidRDefault="00273DEC" w:rsidP="009C77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0309F"/>
    <w:rsid w:val="00016B87"/>
    <w:rsid w:val="00021CB6"/>
    <w:rsid w:val="00022260"/>
    <w:rsid w:val="00177B2D"/>
    <w:rsid w:val="0023493B"/>
    <w:rsid w:val="00273DEC"/>
    <w:rsid w:val="002A5F5C"/>
    <w:rsid w:val="002D472C"/>
    <w:rsid w:val="00323B43"/>
    <w:rsid w:val="00345CD0"/>
    <w:rsid w:val="00355ABA"/>
    <w:rsid w:val="003B01A6"/>
    <w:rsid w:val="003B1146"/>
    <w:rsid w:val="003D37D8"/>
    <w:rsid w:val="003D442A"/>
    <w:rsid w:val="003F36AE"/>
    <w:rsid w:val="003F7814"/>
    <w:rsid w:val="00426133"/>
    <w:rsid w:val="004358AB"/>
    <w:rsid w:val="00443B6D"/>
    <w:rsid w:val="00494E71"/>
    <w:rsid w:val="005C794E"/>
    <w:rsid w:val="00601D04"/>
    <w:rsid w:val="006204BC"/>
    <w:rsid w:val="00622452"/>
    <w:rsid w:val="0062367F"/>
    <w:rsid w:val="00642AD5"/>
    <w:rsid w:val="006D1151"/>
    <w:rsid w:val="006F026A"/>
    <w:rsid w:val="007060CA"/>
    <w:rsid w:val="007078A4"/>
    <w:rsid w:val="008248FA"/>
    <w:rsid w:val="00864EF9"/>
    <w:rsid w:val="008B7726"/>
    <w:rsid w:val="00973AD9"/>
    <w:rsid w:val="009C77FD"/>
    <w:rsid w:val="00A42C38"/>
    <w:rsid w:val="00AD5B5D"/>
    <w:rsid w:val="00B15FD5"/>
    <w:rsid w:val="00C70CCB"/>
    <w:rsid w:val="00CE10B9"/>
    <w:rsid w:val="00D219C8"/>
    <w:rsid w:val="00D31D50"/>
    <w:rsid w:val="00DA2C22"/>
    <w:rsid w:val="00F0708D"/>
    <w:rsid w:val="00F9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C8FB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7FD"/>
    <w:pPr>
      <w:spacing w:after="0" w:line="240" w:lineRule="auto"/>
    </w:pPr>
    <w:rPr>
      <w:rFonts w:eastAsiaTheme="minorEastAsia"/>
      <w:sz w:val="24"/>
      <w:szCs w:val="24"/>
      <w:lang w:val="fr-FR"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C77FD"/>
    <w:pPr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sz w:val="18"/>
      <w:szCs w:val="18"/>
      <w:lang w:val="en-US" w:eastAsia="zh-CN"/>
    </w:rPr>
  </w:style>
  <w:style w:type="character" w:customStyle="1" w:styleId="En-tteCar">
    <w:name w:val="En-tête Car"/>
    <w:basedOn w:val="Policepardfaut"/>
    <w:link w:val="En-tte"/>
    <w:uiPriority w:val="99"/>
    <w:semiHidden/>
    <w:rsid w:val="009C77FD"/>
    <w:rPr>
      <w:rFonts w:ascii="Tahoma" w:hAnsi="Tahoma"/>
      <w:sz w:val="18"/>
      <w:szCs w:val="18"/>
    </w:rPr>
  </w:style>
  <w:style w:type="paragraph" w:styleId="Pieddepage">
    <w:name w:val="footer"/>
    <w:basedOn w:val="Normal"/>
    <w:link w:val="PieddepageCar"/>
    <w:uiPriority w:val="99"/>
    <w:semiHidden/>
    <w:unhideWhenUsed/>
    <w:rsid w:val="009C77FD"/>
    <w:pPr>
      <w:tabs>
        <w:tab w:val="center" w:pos="4153"/>
        <w:tab w:val="right" w:pos="8306"/>
      </w:tabs>
      <w:adjustRightInd w:val="0"/>
      <w:snapToGrid w:val="0"/>
      <w:spacing w:after="200"/>
    </w:pPr>
    <w:rPr>
      <w:rFonts w:ascii="Tahoma" w:eastAsia="微软雅黑" w:hAnsi="Tahoma"/>
      <w:sz w:val="18"/>
      <w:szCs w:val="18"/>
      <w:lang w:val="en-US" w:eastAsia="zh-CN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9C77FD"/>
    <w:rPr>
      <w:rFonts w:ascii="Tahoma" w:hAnsi="Tahoma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F026A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026A"/>
    <w:rPr>
      <w:rFonts w:eastAsiaTheme="minorEastAsia"/>
      <w:sz w:val="18"/>
      <w:szCs w:val="18"/>
      <w:lang w:val="fr-FR"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7FD"/>
    <w:pPr>
      <w:spacing w:after="0" w:line="240" w:lineRule="auto"/>
    </w:pPr>
    <w:rPr>
      <w:rFonts w:eastAsiaTheme="minorEastAsia"/>
      <w:sz w:val="24"/>
      <w:szCs w:val="24"/>
      <w:lang w:val="fr-FR"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C77FD"/>
    <w:pPr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sz w:val="18"/>
      <w:szCs w:val="18"/>
      <w:lang w:val="en-US" w:eastAsia="zh-CN"/>
    </w:rPr>
  </w:style>
  <w:style w:type="character" w:customStyle="1" w:styleId="En-tteCar">
    <w:name w:val="En-tête Car"/>
    <w:basedOn w:val="Policepardfaut"/>
    <w:link w:val="En-tte"/>
    <w:uiPriority w:val="99"/>
    <w:semiHidden/>
    <w:rsid w:val="009C77FD"/>
    <w:rPr>
      <w:rFonts w:ascii="Tahoma" w:hAnsi="Tahoma"/>
      <w:sz w:val="18"/>
      <w:szCs w:val="18"/>
    </w:rPr>
  </w:style>
  <w:style w:type="paragraph" w:styleId="Pieddepage">
    <w:name w:val="footer"/>
    <w:basedOn w:val="Normal"/>
    <w:link w:val="PieddepageCar"/>
    <w:uiPriority w:val="99"/>
    <w:semiHidden/>
    <w:unhideWhenUsed/>
    <w:rsid w:val="009C77FD"/>
    <w:pPr>
      <w:tabs>
        <w:tab w:val="center" w:pos="4153"/>
        <w:tab w:val="right" w:pos="8306"/>
      </w:tabs>
      <w:adjustRightInd w:val="0"/>
      <w:snapToGrid w:val="0"/>
      <w:spacing w:after="200"/>
    </w:pPr>
    <w:rPr>
      <w:rFonts w:ascii="Tahoma" w:eastAsia="微软雅黑" w:hAnsi="Tahoma"/>
      <w:sz w:val="18"/>
      <w:szCs w:val="18"/>
      <w:lang w:val="en-US" w:eastAsia="zh-CN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9C77FD"/>
    <w:rPr>
      <w:rFonts w:ascii="Tahoma" w:hAnsi="Tahoma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F026A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026A"/>
    <w:rPr>
      <w:rFonts w:eastAsiaTheme="minorEastAsia"/>
      <w:sz w:val="18"/>
      <w:szCs w:val="18"/>
      <w:lang w:val="fr-FR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tiff"/><Relationship Id="rId8" Type="http://schemas.openxmlformats.org/officeDocument/2006/relationships/image" Target="media/image2.tif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216</Words>
  <Characters>1189</Characters>
  <Application>Microsoft Macintosh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weichaojie</dc:creator>
  <cp:lastModifiedBy>Antoine Kimmoun</cp:lastModifiedBy>
  <cp:revision>9</cp:revision>
  <dcterms:created xsi:type="dcterms:W3CDTF">2016-08-12T12:37:00Z</dcterms:created>
  <dcterms:modified xsi:type="dcterms:W3CDTF">2016-10-30T13:55:00Z</dcterms:modified>
</cp:coreProperties>
</file>