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12E" w:rsidRPr="00A9712E" w:rsidRDefault="00A9712E" w:rsidP="00A9712E">
      <w:pPr>
        <w:rPr>
          <w:rFonts w:cs="Times New Roman"/>
          <w:b/>
          <w:sz w:val="20"/>
          <w:szCs w:val="20"/>
        </w:rPr>
      </w:pPr>
      <w:r w:rsidRPr="00A9712E">
        <w:rPr>
          <w:b/>
        </w:rPr>
        <w:t xml:space="preserve">Appendix 4 </w:t>
      </w:r>
      <w:r w:rsidR="00EE7FF2">
        <w:rPr>
          <w:rFonts w:cs="Times New Roman"/>
          <w:b/>
          <w:szCs w:val="24"/>
        </w:rPr>
        <w:t>Results from sensitivity analyse</w:t>
      </w:r>
      <w:r w:rsidRPr="00A9712E">
        <w:rPr>
          <w:rFonts w:cs="Times New Roman"/>
          <w:b/>
          <w:szCs w:val="24"/>
        </w:rPr>
        <w:t>s</w:t>
      </w:r>
      <w:r w:rsidRPr="00A9712E">
        <w:rPr>
          <w:rFonts w:cs="Times New Roman" w:hint="eastAsia"/>
          <w:b/>
          <w:sz w:val="20"/>
          <w:szCs w:val="20"/>
        </w:rPr>
        <w:t xml:space="preserve">  </w:t>
      </w:r>
    </w:p>
    <w:p w:rsidR="00A9712E" w:rsidRDefault="00A9712E" w:rsidP="00A9712E">
      <w:pPr>
        <w:spacing w:after="0" w:line="240" w:lineRule="auto"/>
        <w:rPr>
          <w:rFonts w:cs="Times New Roman"/>
          <w:sz w:val="20"/>
          <w:szCs w:val="20"/>
        </w:rPr>
      </w:pPr>
    </w:p>
    <w:p w:rsidR="00A9712E" w:rsidRPr="00EE7FF2" w:rsidRDefault="00A9712E" w:rsidP="00A9712E">
      <w:pPr>
        <w:rPr>
          <w:b/>
        </w:rPr>
      </w:pPr>
      <w:r w:rsidRPr="00EE7FF2">
        <w:rPr>
          <w:rFonts w:hint="eastAsia"/>
          <w:b/>
        </w:rPr>
        <w:t xml:space="preserve">Table A: </w:t>
      </w:r>
      <w:bookmarkStart w:id="0" w:name="_GoBack"/>
      <w:bookmarkEnd w:id="0"/>
      <w:r w:rsidRPr="00EE7FF2">
        <w:rPr>
          <w:rFonts w:hint="eastAsia"/>
          <w:b/>
        </w:rPr>
        <w:t>The treatment effect of in hospital sepsis on post-discharge mortality (risk difference: results of nearest neighbour matching (NNM) and propensity score matching (PSM)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90"/>
        <w:gridCol w:w="2020"/>
        <w:gridCol w:w="1843"/>
        <w:gridCol w:w="1843"/>
        <w:gridCol w:w="1701"/>
      </w:tblGrid>
      <w:tr w:rsidR="00A9712E" w:rsidRPr="00B51861" w:rsidTr="00843FC9">
        <w:tc>
          <w:tcPr>
            <w:tcW w:w="1490" w:type="dxa"/>
            <w:vMerge w:val="restart"/>
          </w:tcPr>
          <w:p w:rsidR="00A9712E" w:rsidRPr="00B51861" w:rsidRDefault="00A9712E" w:rsidP="00843FC9">
            <w:r w:rsidRPr="00B51861">
              <w:rPr>
                <w:rFonts w:hint="eastAsia"/>
              </w:rPr>
              <w:t>Post-discharge mortality (%)</w:t>
            </w:r>
          </w:p>
        </w:tc>
        <w:tc>
          <w:tcPr>
            <w:tcW w:w="3863" w:type="dxa"/>
            <w:gridSpan w:val="2"/>
          </w:tcPr>
          <w:p w:rsidR="00A9712E" w:rsidRPr="00B51861" w:rsidRDefault="00A9712E" w:rsidP="00843FC9">
            <w:pPr>
              <w:jc w:val="center"/>
            </w:pPr>
            <w:r w:rsidRPr="00B51861">
              <w:rPr>
                <w:rFonts w:hint="eastAsia"/>
              </w:rPr>
              <w:t xml:space="preserve">Nearest neighbour </w:t>
            </w:r>
            <w:r w:rsidRPr="00B51861">
              <w:t>matching</w:t>
            </w:r>
            <w:r w:rsidRPr="00B51861">
              <w:rPr>
                <w:rFonts w:hint="eastAsia"/>
              </w:rPr>
              <w:t>(NNM; n=124,591)</w:t>
            </w:r>
          </w:p>
        </w:tc>
        <w:tc>
          <w:tcPr>
            <w:tcW w:w="3544" w:type="dxa"/>
            <w:gridSpan w:val="2"/>
          </w:tcPr>
          <w:p w:rsidR="00A9712E" w:rsidRPr="00B51861" w:rsidRDefault="00A9712E" w:rsidP="00843FC9">
            <w:r w:rsidRPr="00B51861">
              <w:rPr>
                <w:rFonts w:hint="eastAsia"/>
              </w:rPr>
              <w:t>Propensity score matching (PSM; n=144,332)</w:t>
            </w:r>
          </w:p>
        </w:tc>
      </w:tr>
      <w:tr w:rsidR="00A9712E" w:rsidRPr="00B51861" w:rsidTr="00843FC9">
        <w:tc>
          <w:tcPr>
            <w:tcW w:w="1490" w:type="dxa"/>
            <w:vMerge/>
          </w:tcPr>
          <w:p w:rsidR="00A9712E" w:rsidRPr="00B51861" w:rsidRDefault="00A9712E" w:rsidP="00843FC9"/>
        </w:tc>
        <w:tc>
          <w:tcPr>
            <w:tcW w:w="2020" w:type="dxa"/>
          </w:tcPr>
          <w:p w:rsidR="00A9712E" w:rsidRPr="00B51861" w:rsidRDefault="00A9712E" w:rsidP="00843FC9">
            <w:r w:rsidRPr="00B51861">
              <w:rPr>
                <w:rFonts w:hint="eastAsia"/>
              </w:rPr>
              <w:t>Treatment effect ( %: Sepsis vs non-sepsis)</w:t>
            </w:r>
          </w:p>
        </w:tc>
        <w:tc>
          <w:tcPr>
            <w:tcW w:w="1843" w:type="dxa"/>
          </w:tcPr>
          <w:p w:rsidR="00A9712E" w:rsidRPr="00B51861" w:rsidRDefault="00A9712E" w:rsidP="00843FC9">
            <w:r w:rsidRPr="00B51861">
              <w:rPr>
                <w:rFonts w:hint="eastAsia"/>
              </w:rPr>
              <w:t>95%CI of the treatment effect</w:t>
            </w:r>
          </w:p>
        </w:tc>
        <w:tc>
          <w:tcPr>
            <w:tcW w:w="1843" w:type="dxa"/>
          </w:tcPr>
          <w:p w:rsidR="00A9712E" w:rsidRPr="00B51861" w:rsidRDefault="00A9712E" w:rsidP="00843FC9">
            <w:r w:rsidRPr="00B51861">
              <w:t>Treatment effect ( %: Sepsis vs non-sepsis)</w:t>
            </w:r>
          </w:p>
        </w:tc>
        <w:tc>
          <w:tcPr>
            <w:tcW w:w="1701" w:type="dxa"/>
          </w:tcPr>
          <w:p w:rsidR="00A9712E" w:rsidRPr="00B51861" w:rsidRDefault="00A9712E" w:rsidP="00843FC9">
            <w:r w:rsidRPr="00B51861">
              <w:t>95%CI of the treatment effect</w:t>
            </w:r>
          </w:p>
        </w:tc>
      </w:tr>
      <w:tr w:rsidR="00A9712E" w:rsidRPr="00B51861" w:rsidTr="00843FC9">
        <w:tc>
          <w:tcPr>
            <w:tcW w:w="1490" w:type="dxa"/>
          </w:tcPr>
          <w:p w:rsidR="00A9712E" w:rsidRPr="00B51861" w:rsidRDefault="00A9712E" w:rsidP="00843FC9">
            <w:r w:rsidRPr="00B51861">
              <w:rPr>
                <w:rFonts w:hint="eastAsia"/>
              </w:rPr>
              <w:t>3-month</w:t>
            </w:r>
          </w:p>
        </w:tc>
        <w:tc>
          <w:tcPr>
            <w:tcW w:w="2020" w:type="dxa"/>
          </w:tcPr>
          <w:p w:rsidR="00A9712E" w:rsidRPr="00B51861" w:rsidRDefault="00A9712E" w:rsidP="00843FC9">
            <w:r w:rsidRPr="00B51861">
              <w:rPr>
                <w:rFonts w:hint="eastAsia"/>
              </w:rPr>
              <w:t>2.8%</w:t>
            </w:r>
          </w:p>
        </w:tc>
        <w:tc>
          <w:tcPr>
            <w:tcW w:w="1843" w:type="dxa"/>
          </w:tcPr>
          <w:p w:rsidR="00A9712E" w:rsidRPr="00B51861" w:rsidRDefault="00A9712E" w:rsidP="00843FC9">
            <w:r w:rsidRPr="00B51861">
              <w:rPr>
                <w:rFonts w:hint="eastAsia"/>
              </w:rPr>
              <w:t>(1.3% - 4.3%</w:t>
            </w:r>
            <w:proofErr w:type="gramStart"/>
            <w:r w:rsidRPr="00B51861">
              <w:rPr>
                <w:rFonts w:hint="eastAsia"/>
              </w:rPr>
              <w:t>)*</w:t>
            </w:r>
            <w:proofErr w:type="gramEnd"/>
            <w:r w:rsidRPr="00B51861">
              <w:rPr>
                <w:rFonts w:hint="eastAsia"/>
              </w:rPr>
              <w:t>**</w:t>
            </w:r>
          </w:p>
        </w:tc>
        <w:tc>
          <w:tcPr>
            <w:tcW w:w="1843" w:type="dxa"/>
          </w:tcPr>
          <w:p w:rsidR="00A9712E" w:rsidRPr="00B51861" w:rsidRDefault="00A9712E" w:rsidP="00843FC9">
            <w:r w:rsidRPr="00B51861">
              <w:rPr>
                <w:rFonts w:hint="eastAsia"/>
              </w:rPr>
              <w:t>2.2%</w:t>
            </w:r>
          </w:p>
        </w:tc>
        <w:tc>
          <w:tcPr>
            <w:tcW w:w="1701" w:type="dxa"/>
          </w:tcPr>
          <w:p w:rsidR="00A9712E" w:rsidRPr="00B51861" w:rsidRDefault="00A9712E" w:rsidP="00843FC9">
            <w:r w:rsidRPr="00B51861">
              <w:rPr>
                <w:rFonts w:hint="eastAsia"/>
              </w:rPr>
              <w:t>(0.3% - 4.1%)*</w:t>
            </w:r>
          </w:p>
        </w:tc>
      </w:tr>
      <w:tr w:rsidR="00A9712E" w:rsidRPr="00B51861" w:rsidTr="00843FC9">
        <w:tc>
          <w:tcPr>
            <w:tcW w:w="1490" w:type="dxa"/>
          </w:tcPr>
          <w:p w:rsidR="00A9712E" w:rsidRPr="00B51861" w:rsidRDefault="00A9712E" w:rsidP="00843FC9">
            <w:r w:rsidRPr="00B51861">
              <w:rPr>
                <w:rFonts w:hint="eastAsia"/>
              </w:rPr>
              <w:t>6-month</w:t>
            </w:r>
          </w:p>
        </w:tc>
        <w:tc>
          <w:tcPr>
            <w:tcW w:w="2020" w:type="dxa"/>
          </w:tcPr>
          <w:p w:rsidR="00A9712E" w:rsidRPr="00B51861" w:rsidRDefault="00A9712E" w:rsidP="00843FC9">
            <w:r w:rsidRPr="00B51861">
              <w:rPr>
                <w:rFonts w:hint="eastAsia"/>
              </w:rPr>
              <w:t>3.8%</w:t>
            </w:r>
          </w:p>
        </w:tc>
        <w:tc>
          <w:tcPr>
            <w:tcW w:w="1843" w:type="dxa"/>
          </w:tcPr>
          <w:p w:rsidR="00A9712E" w:rsidRPr="00B51861" w:rsidRDefault="00A9712E" w:rsidP="00843FC9">
            <w:r w:rsidRPr="00B51861">
              <w:rPr>
                <w:rFonts w:hint="eastAsia"/>
              </w:rPr>
              <w:t>(2.3% - 5.3%</w:t>
            </w:r>
            <w:proofErr w:type="gramStart"/>
            <w:r w:rsidRPr="00B51861">
              <w:rPr>
                <w:rFonts w:hint="eastAsia"/>
              </w:rPr>
              <w:t>)*</w:t>
            </w:r>
            <w:proofErr w:type="gramEnd"/>
            <w:r w:rsidRPr="00B51861">
              <w:rPr>
                <w:rFonts w:hint="eastAsia"/>
              </w:rPr>
              <w:t>**</w:t>
            </w:r>
          </w:p>
        </w:tc>
        <w:tc>
          <w:tcPr>
            <w:tcW w:w="1843" w:type="dxa"/>
          </w:tcPr>
          <w:p w:rsidR="00A9712E" w:rsidRPr="00B51861" w:rsidRDefault="00A9712E" w:rsidP="00843FC9">
            <w:r w:rsidRPr="00B51861">
              <w:rPr>
                <w:rFonts w:hint="eastAsia"/>
              </w:rPr>
              <w:t>3.4%</w:t>
            </w:r>
          </w:p>
        </w:tc>
        <w:tc>
          <w:tcPr>
            <w:tcW w:w="1701" w:type="dxa"/>
          </w:tcPr>
          <w:p w:rsidR="00A9712E" w:rsidRPr="00B51861" w:rsidRDefault="00A9712E" w:rsidP="00843FC9">
            <w:r w:rsidRPr="00B51861">
              <w:rPr>
                <w:rFonts w:hint="eastAsia"/>
              </w:rPr>
              <w:t>(0.9% - 5.9%</w:t>
            </w:r>
            <w:proofErr w:type="gramStart"/>
            <w:r w:rsidRPr="00B51861">
              <w:rPr>
                <w:rFonts w:hint="eastAsia"/>
              </w:rPr>
              <w:t>)*</w:t>
            </w:r>
            <w:proofErr w:type="gramEnd"/>
            <w:r w:rsidRPr="00B51861">
              <w:rPr>
                <w:rFonts w:hint="eastAsia"/>
              </w:rPr>
              <w:t>*</w:t>
            </w:r>
          </w:p>
        </w:tc>
      </w:tr>
      <w:tr w:rsidR="00A9712E" w:rsidRPr="00B51861" w:rsidTr="00843FC9">
        <w:tc>
          <w:tcPr>
            <w:tcW w:w="1490" w:type="dxa"/>
          </w:tcPr>
          <w:p w:rsidR="00A9712E" w:rsidRPr="00B51861" w:rsidRDefault="00A9712E" w:rsidP="00843FC9">
            <w:r w:rsidRPr="00B51861">
              <w:rPr>
                <w:rFonts w:hint="eastAsia"/>
              </w:rPr>
              <w:t xml:space="preserve">1-year </w:t>
            </w:r>
          </w:p>
        </w:tc>
        <w:tc>
          <w:tcPr>
            <w:tcW w:w="2020" w:type="dxa"/>
          </w:tcPr>
          <w:p w:rsidR="00A9712E" w:rsidRPr="00B51861" w:rsidRDefault="00A9712E" w:rsidP="00843FC9">
            <w:r w:rsidRPr="00B51861">
              <w:rPr>
                <w:rFonts w:hint="eastAsia"/>
              </w:rPr>
              <w:t>5.4%</w:t>
            </w:r>
          </w:p>
        </w:tc>
        <w:tc>
          <w:tcPr>
            <w:tcW w:w="1843" w:type="dxa"/>
          </w:tcPr>
          <w:p w:rsidR="00A9712E" w:rsidRPr="00B51861" w:rsidRDefault="00A9712E" w:rsidP="00843FC9">
            <w:r w:rsidRPr="00B51861">
              <w:rPr>
                <w:rFonts w:hint="eastAsia"/>
              </w:rPr>
              <w:t>(3.0% - 7.7%</w:t>
            </w:r>
            <w:proofErr w:type="gramStart"/>
            <w:r w:rsidRPr="00B51861">
              <w:rPr>
                <w:rFonts w:hint="eastAsia"/>
              </w:rPr>
              <w:t>)*</w:t>
            </w:r>
            <w:proofErr w:type="gramEnd"/>
            <w:r w:rsidRPr="00B51861">
              <w:rPr>
                <w:rFonts w:hint="eastAsia"/>
              </w:rPr>
              <w:t>**</w:t>
            </w:r>
          </w:p>
        </w:tc>
        <w:tc>
          <w:tcPr>
            <w:tcW w:w="1843" w:type="dxa"/>
          </w:tcPr>
          <w:p w:rsidR="00A9712E" w:rsidRPr="00B51861" w:rsidRDefault="00A9712E" w:rsidP="00843FC9">
            <w:r w:rsidRPr="00B51861">
              <w:rPr>
                <w:rFonts w:hint="eastAsia"/>
              </w:rPr>
              <w:t>5.3%</w:t>
            </w:r>
          </w:p>
        </w:tc>
        <w:tc>
          <w:tcPr>
            <w:tcW w:w="1701" w:type="dxa"/>
          </w:tcPr>
          <w:p w:rsidR="00A9712E" w:rsidRPr="00B51861" w:rsidRDefault="00A9712E" w:rsidP="00843FC9">
            <w:r w:rsidRPr="00B51861">
              <w:rPr>
                <w:rFonts w:hint="eastAsia"/>
              </w:rPr>
              <w:t>(2.3% - 8.2%</w:t>
            </w:r>
            <w:proofErr w:type="gramStart"/>
            <w:r w:rsidRPr="00B51861">
              <w:rPr>
                <w:rFonts w:hint="eastAsia"/>
              </w:rPr>
              <w:t>)*</w:t>
            </w:r>
            <w:proofErr w:type="gramEnd"/>
            <w:r w:rsidRPr="00B51861">
              <w:rPr>
                <w:rFonts w:hint="eastAsia"/>
              </w:rPr>
              <w:t>*</w:t>
            </w:r>
          </w:p>
        </w:tc>
      </w:tr>
    </w:tbl>
    <w:p w:rsidR="00A9712E" w:rsidRPr="00B51861" w:rsidRDefault="00A9712E" w:rsidP="00A9712E">
      <w:r w:rsidRPr="00B51861">
        <w:rPr>
          <w:rFonts w:hint="eastAsia"/>
        </w:rPr>
        <w:t>*p&lt;0.05; **p&lt;0.01; ***p&lt;0.001</w:t>
      </w:r>
    </w:p>
    <w:p w:rsidR="00A9712E" w:rsidRPr="00B51861" w:rsidRDefault="00A9712E" w:rsidP="00A9712E">
      <w:pPr>
        <w:spacing w:after="0" w:line="240" w:lineRule="auto"/>
      </w:pPr>
      <w:r w:rsidRPr="00B51861">
        <w:rPr>
          <w:rFonts w:hint="eastAsia"/>
        </w:rPr>
        <w:t xml:space="preserve">Note:  1) For NNM,  the matching was based on admission year, age, gender, country of birth, marital status, </w:t>
      </w:r>
      <w:r w:rsidRPr="00B51861">
        <w:t>comorbidity</w:t>
      </w:r>
      <w:r w:rsidRPr="00B51861">
        <w:rPr>
          <w:rFonts w:hint="eastAsia"/>
        </w:rPr>
        <w:t xml:space="preserve"> (</w:t>
      </w:r>
      <w:proofErr w:type="spellStart"/>
      <w:r w:rsidRPr="00B51861">
        <w:rPr>
          <w:rFonts w:hint="eastAsia"/>
        </w:rPr>
        <w:t>Charlson</w:t>
      </w:r>
      <w:proofErr w:type="spellEnd"/>
      <w:r w:rsidRPr="00B51861">
        <w:rPr>
          <w:rFonts w:hint="eastAsia"/>
        </w:rPr>
        <w:t xml:space="preserve"> Index), social-economic status (quartile of SEIFA score), location of the hospital (Rural/regional vs others), hospital peer groups, surgical type and length of stay (the exact matching was made on age groups, country of birth and </w:t>
      </w:r>
      <w:r w:rsidRPr="00B51861">
        <w:t>comorbidity</w:t>
      </w:r>
      <w:r w:rsidRPr="00B51861">
        <w:rPr>
          <w:rFonts w:hint="eastAsia"/>
        </w:rPr>
        <w:t xml:space="preserve">).  The estimation of treatment effect was based on robust variance estimator and adjusted for age and </w:t>
      </w:r>
      <w:r w:rsidRPr="00B51861">
        <w:t>length</w:t>
      </w:r>
      <w:r w:rsidRPr="00B51861">
        <w:rPr>
          <w:rFonts w:hint="eastAsia"/>
        </w:rPr>
        <w:t xml:space="preserve"> of stay.  For PSM, same matching variables were used except that there were no exact matching groups and no adjustment for the </w:t>
      </w:r>
      <w:r w:rsidRPr="00B51861">
        <w:t>continuous</w:t>
      </w:r>
      <w:r w:rsidRPr="00B51861">
        <w:rPr>
          <w:rFonts w:hint="eastAsia"/>
        </w:rPr>
        <w:t xml:space="preserve"> variables of age and </w:t>
      </w:r>
      <w:r w:rsidRPr="00B51861">
        <w:t>length</w:t>
      </w:r>
      <w:r w:rsidRPr="00B51861">
        <w:rPr>
          <w:rFonts w:hint="eastAsia"/>
        </w:rPr>
        <w:t xml:space="preserve"> of stay. </w:t>
      </w:r>
    </w:p>
    <w:p w:rsidR="00A9712E" w:rsidRPr="00B51861" w:rsidRDefault="00A9712E" w:rsidP="00A9712E">
      <w:r w:rsidRPr="00B51861">
        <w:rPr>
          <w:rFonts w:hint="eastAsia"/>
        </w:rPr>
        <w:t xml:space="preserve">2) </w:t>
      </w:r>
      <w:r>
        <w:rPr>
          <w:rFonts w:hint="eastAsia"/>
        </w:rPr>
        <w:t>F</w:t>
      </w:r>
      <w:r w:rsidRPr="00B51861">
        <w:rPr>
          <w:rFonts w:hint="eastAsia"/>
        </w:rPr>
        <w:t>or both NNM</w:t>
      </w:r>
      <w:r>
        <w:rPr>
          <w:rFonts w:hint="eastAsia"/>
        </w:rPr>
        <w:t xml:space="preserve"> and PSM, a </w:t>
      </w:r>
      <w:proofErr w:type="spellStart"/>
      <w:r>
        <w:rPr>
          <w:rFonts w:hint="eastAsia"/>
        </w:rPr>
        <w:t>caliper</w:t>
      </w:r>
      <w:proofErr w:type="spellEnd"/>
      <w:r>
        <w:rPr>
          <w:rFonts w:hint="eastAsia"/>
        </w:rPr>
        <w:t xml:space="preserve"> of 0.05 w</w:t>
      </w:r>
      <w:r>
        <w:t>as</w:t>
      </w:r>
      <w:r w:rsidRPr="00B51861">
        <w:rPr>
          <w:rFonts w:hint="eastAsia"/>
        </w:rPr>
        <w:t xml:space="preserve"> employed and a check of overlap of both baseline distribution and matched-sample were examined.  Both graphic plots and </w:t>
      </w:r>
      <w:r w:rsidRPr="00B51861">
        <w:t>standardised</w:t>
      </w:r>
      <w:r w:rsidRPr="00B51861">
        <w:rPr>
          <w:rFonts w:hint="eastAsia"/>
        </w:rPr>
        <w:t xml:space="preserve"> statistical summary </w:t>
      </w:r>
      <w:r>
        <w:rPr>
          <w:rFonts w:hint="eastAsia"/>
        </w:rPr>
        <w:t xml:space="preserve">and tests </w:t>
      </w:r>
      <w:r w:rsidRPr="00B51861">
        <w:rPr>
          <w:rFonts w:hint="eastAsia"/>
        </w:rPr>
        <w:t xml:space="preserve">were employed </w:t>
      </w:r>
      <w:r>
        <w:t>wherever</w:t>
      </w:r>
      <w:r>
        <w:rPr>
          <w:rFonts w:hint="eastAsia"/>
        </w:rPr>
        <w:t xml:space="preserve"> </w:t>
      </w:r>
      <w:r>
        <w:t>appropriate</w:t>
      </w:r>
      <w:r>
        <w:rPr>
          <w:rFonts w:hint="eastAsia"/>
        </w:rPr>
        <w:t xml:space="preserve"> </w:t>
      </w:r>
      <w:r w:rsidRPr="00B51861">
        <w:rPr>
          <w:rFonts w:hint="eastAsia"/>
        </w:rPr>
        <w:t>to make sure the balance of matched-sample</w:t>
      </w:r>
      <w:r>
        <w:rPr>
          <w:rFonts w:hint="eastAsia"/>
        </w:rPr>
        <w:t xml:space="preserve"> as part of the iterative process</w:t>
      </w:r>
      <w:r w:rsidRPr="00B51861">
        <w:rPr>
          <w:rFonts w:hint="eastAsia"/>
        </w:rPr>
        <w:t>.</w:t>
      </w:r>
    </w:p>
    <w:p w:rsidR="00A9712E" w:rsidRDefault="00A9712E" w:rsidP="00A9712E">
      <w:pPr>
        <w:spacing w:after="0" w:line="240" w:lineRule="auto"/>
        <w:rPr>
          <w:rFonts w:cs="Times New Roman"/>
          <w:sz w:val="20"/>
          <w:szCs w:val="20"/>
        </w:rPr>
      </w:pPr>
    </w:p>
    <w:p w:rsidR="00A9712E" w:rsidRDefault="00A9712E"/>
    <w:sectPr w:rsidR="00A971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12E"/>
    <w:rsid w:val="00000820"/>
    <w:rsid w:val="000018F5"/>
    <w:rsid w:val="0000208A"/>
    <w:rsid w:val="00003A05"/>
    <w:rsid w:val="00004CCC"/>
    <w:rsid w:val="00007B5B"/>
    <w:rsid w:val="00012175"/>
    <w:rsid w:val="00012ABA"/>
    <w:rsid w:val="00013764"/>
    <w:rsid w:val="00013832"/>
    <w:rsid w:val="0001497A"/>
    <w:rsid w:val="0002065B"/>
    <w:rsid w:val="00022057"/>
    <w:rsid w:val="00025124"/>
    <w:rsid w:val="0002611A"/>
    <w:rsid w:val="0003247E"/>
    <w:rsid w:val="00032FF1"/>
    <w:rsid w:val="00034C0D"/>
    <w:rsid w:val="00034EED"/>
    <w:rsid w:val="000373E5"/>
    <w:rsid w:val="00037D74"/>
    <w:rsid w:val="000410DF"/>
    <w:rsid w:val="00066706"/>
    <w:rsid w:val="00066EBC"/>
    <w:rsid w:val="000670CC"/>
    <w:rsid w:val="00067B10"/>
    <w:rsid w:val="000708E7"/>
    <w:rsid w:val="0007552F"/>
    <w:rsid w:val="00080E69"/>
    <w:rsid w:val="00080F88"/>
    <w:rsid w:val="0008265F"/>
    <w:rsid w:val="00084357"/>
    <w:rsid w:val="00084C4F"/>
    <w:rsid w:val="00086239"/>
    <w:rsid w:val="0008794A"/>
    <w:rsid w:val="00090AF8"/>
    <w:rsid w:val="00094382"/>
    <w:rsid w:val="000961AA"/>
    <w:rsid w:val="000A0001"/>
    <w:rsid w:val="000A0458"/>
    <w:rsid w:val="000A0F45"/>
    <w:rsid w:val="000B0800"/>
    <w:rsid w:val="000B1575"/>
    <w:rsid w:val="000B33FB"/>
    <w:rsid w:val="000B488F"/>
    <w:rsid w:val="000B6F5F"/>
    <w:rsid w:val="000C1F61"/>
    <w:rsid w:val="000C2E80"/>
    <w:rsid w:val="000D3DD2"/>
    <w:rsid w:val="000E26B3"/>
    <w:rsid w:val="000E3AE0"/>
    <w:rsid w:val="000F1061"/>
    <w:rsid w:val="000F269E"/>
    <w:rsid w:val="000F35B1"/>
    <w:rsid w:val="000F4C14"/>
    <w:rsid w:val="000F7840"/>
    <w:rsid w:val="00100D55"/>
    <w:rsid w:val="00102A78"/>
    <w:rsid w:val="00104250"/>
    <w:rsid w:val="00105A57"/>
    <w:rsid w:val="00106617"/>
    <w:rsid w:val="001072AE"/>
    <w:rsid w:val="001074DB"/>
    <w:rsid w:val="001076F7"/>
    <w:rsid w:val="001108C1"/>
    <w:rsid w:val="001123BE"/>
    <w:rsid w:val="00117BFC"/>
    <w:rsid w:val="00121735"/>
    <w:rsid w:val="00121976"/>
    <w:rsid w:val="00122698"/>
    <w:rsid w:val="00123E6A"/>
    <w:rsid w:val="00127605"/>
    <w:rsid w:val="00127DC4"/>
    <w:rsid w:val="00131071"/>
    <w:rsid w:val="00132186"/>
    <w:rsid w:val="00134934"/>
    <w:rsid w:val="00134C4F"/>
    <w:rsid w:val="00135576"/>
    <w:rsid w:val="0013631B"/>
    <w:rsid w:val="00136914"/>
    <w:rsid w:val="001400AB"/>
    <w:rsid w:val="00144FAB"/>
    <w:rsid w:val="00145F5C"/>
    <w:rsid w:val="00147441"/>
    <w:rsid w:val="00147B04"/>
    <w:rsid w:val="0015045A"/>
    <w:rsid w:val="00151540"/>
    <w:rsid w:val="001576A6"/>
    <w:rsid w:val="00157C78"/>
    <w:rsid w:val="00161A3B"/>
    <w:rsid w:val="00161DB0"/>
    <w:rsid w:val="00162563"/>
    <w:rsid w:val="00162DC2"/>
    <w:rsid w:val="0016545E"/>
    <w:rsid w:val="00167AFE"/>
    <w:rsid w:val="00170CF4"/>
    <w:rsid w:val="00171442"/>
    <w:rsid w:val="00173511"/>
    <w:rsid w:val="00173BC9"/>
    <w:rsid w:val="001747C3"/>
    <w:rsid w:val="0017681B"/>
    <w:rsid w:val="0018001E"/>
    <w:rsid w:val="00184E57"/>
    <w:rsid w:val="001853A0"/>
    <w:rsid w:val="001901C5"/>
    <w:rsid w:val="00190E52"/>
    <w:rsid w:val="001929BC"/>
    <w:rsid w:val="00192ABA"/>
    <w:rsid w:val="0019345A"/>
    <w:rsid w:val="001940A7"/>
    <w:rsid w:val="00195432"/>
    <w:rsid w:val="00196355"/>
    <w:rsid w:val="001A02CE"/>
    <w:rsid w:val="001A0C72"/>
    <w:rsid w:val="001A1988"/>
    <w:rsid w:val="001A23BF"/>
    <w:rsid w:val="001A34CD"/>
    <w:rsid w:val="001A4852"/>
    <w:rsid w:val="001A5004"/>
    <w:rsid w:val="001A79D3"/>
    <w:rsid w:val="001B0122"/>
    <w:rsid w:val="001B248D"/>
    <w:rsid w:val="001B2872"/>
    <w:rsid w:val="001B2F08"/>
    <w:rsid w:val="001B560E"/>
    <w:rsid w:val="001B6185"/>
    <w:rsid w:val="001B6BD3"/>
    <w:rsid w:val="001B6E36"/>
    <w:rsid w:val="001B6F57"/>
    <w:rsid w:val="001B74FA"/>
    <w:rsid w:val="001B7CD3"/>
    <w:rsid w:val="001C5A1C"/>
    <w:rsid w:val="001D025D"/>
    <w:rsid w:val="001D3699"/>
    <w:rsid w:val="001D6D27"/>
    <w:rsid w:val="001E00D7"/>
    <w:rsid w:val="001E452D"/>
    <w:rsid w:val="001E4E51"/>
    <w:rsid w:val="001F0E12"/>
    <w:rsid w:val="001F51BB"/>
    <w:rsid w:val="001F6BD0"/>
    <w:rsid w:val="002010B8"/>
    <w:rsid w:val="002015B0"/>
    <w:rsid w:val="00201B23"/>
    <w:rsid w:val="00204265"/>
    <w:rsid w:val="002046D2"/>
    <w:rsid w:val="002070CB"/>
    <w:rsid w:val="00207B3B"/>
    <w:rsid w:val="002108EB"/>
    <w:rsid w:val="00211707"/>
    <w:rsid w:val="00216BA9"/>
    <w:rsid w:val="002239EB"/>
    <w:rsid w:val="00227414"/>
    <w:rsid w:val="002278A2"/>
    <w:rsid w:val="00233A9F"/>
    <w:rsid w:val="002355D8"/>
    <w:rsid w:val="002369B3"/>
    <w:rsid w:val="00242752"/>
    <w:rsid w:val="00243302"/>
    <w:rsid w:val="00245CF2"/>
    <w:rsid w:val="002477BB"/>
    <w:rsid w:val="00251819"/>
    <w:rsid w:val="00252EE8"/>
    <w:rsid w:val="0025408D"/>
    <w:rsid w:val="00260FA8"/>
    <w:rsid w:val="0026145C"/>
    <w:rsid w:val="002626DB"/>
    <w:rsid w:val="00264DF4"/>
    <w:rsid w:val="00264EA1"/>
    <w:rsid w:val="00272C1D"/>
    <w:rsid w:val="002741E8"/>
    <w:rsid w:val="00276C31"/>
    <w:rsid w:val="00280767"/>
    <w:rsid w:val="002811D7"/>
    <w:rsid w:val="00282AE4"/>
    <w:rsid w:val="00286EE7"/>
    <w:rsid w:val="002900D8"/>
    <w:rsid w:val="002930C4"/>
    <w:rsid w:val="00297580"/>
    <w:rsid w:val="002A513E"/>
    <w:rsid w:val="002A5300"/>
    <w:rsid w:val="002A58C7"/>
    <w:rsid w:val="002B0E7A"/>
    <w:rsid w:val="002B140D"/>
    <w:rsid w:val="002B22D4"/>
    <w:rsid w:val="002B2ADD"/>
    <w:rsid w:val="002B5529"/>
    <w:rsid w:val="002B7D6A"/>
    <w:rsid w:val="002C049F"/>
    <w:rsid w:val="002C4216"/>
    <w:rsid w:val="002C45DC"/>
    <w:rsid w:val="002D0C80"/>
    <w:rsid w:val="002D601A"/>
    <w:rsid w:val="002E07BB"/>
    <w:rsid w:val="002E0A3C"/>
    <w:rsid w:val="002E12C4"/>
    <w:rsid w:val="002E1651"/>
    <w:rsid w:val="002E792D"/>
    <w:rsid w:val="002F143E"/>
    <w:rsid w:val="002F2F8F"/>
    <w:rsid w:val="002F31A1"/>
    <w:rsid w:val="003009D5"/>
    <w:rsid w:val="003024DF"/>
    <w:rsid w:val="003030CA"/>
    <w:rsid w:val="00304A08"/>
    <w:rsid w:val="00305F38"/>
    <w:rsid w:val="00306420"/>
    <w:rsid w:val="003119BB"/>
    <w:rsid w:val="003125E7"/>
    <w:rsid w:val="00314195"/>
    <w:rsid w:val="00321974"/>
    <w:rsid w:val="00322DFC"/>
    <w:rsid w:val="00323378"/>
    <w:rsid w:val="00325D04"/>
    <w:rsid w:val="0032670D"/>
    <w:rsid w:val="00326A11"/>
    <w:rsid w:val="0032767A"/>
    <w:rsid w:val="00331373"/>
    <w:rsid w:val="00331E5F"/>
    <w:rsid w:val="00336280"/>
    <w:rsid w:val="00337D0A"/>
    <w:rsid w:val="00341395"/>
    <w:rsid w:val="00347BBD"/>
    <w:rsid w:val="00347BDB"/>
    <w:rsid w:val="00347D88"/>
    <w:rsid w:val="00347E6F"/>
    <w:rsid w:val="00356291"/>
    <w:rsid w:val="0035779C"/>
    <w:rsid w:val="0036009D"/>
    <w:rsid w:val="00360310"/>
    <w:rsid w:val="003616D5"/>
    <w:rsid w:val="0036196F"/>
    <w:rsid w:val="00361A39"/>
    <w:rsid w:val="003653E4"/>
    <w:rsid w:val="00370483"/>
    <w:rsid w:val="0037096A"/>
    <w:rsid w:val="00374E50"/>
    <w:rsid w:val="003802DD"/>
    <w:rsid w:val="0038237D"/>
    <w:rsid w:val="00383B09"/>
    <w:rsid w:val="00383B61"/>
    <w:rsid w:val="00386187"/>
    <w:rsid w:val="00386791"/>
    <w:rsid w:val="00387A2C"/>
    <w:rsid w:val="003923A7"/>
    <w:rsid w:val="003978C5"/>
    <w:rsid w:val="00397D78"/>
    <w:rsid w:val="003A0E2E"/>
    <w:rsid w:val="003A0EEE"/>
    <w:rsid w:val="003A2E28"/>
    <w:rsid w:val="003A3101"/>
    <w:rsid w:val="003A36F3"/>
    <w:rsid w:val="003A7733"/>
    <w:rsid w:val="003B13C1"/>
    <w:rsid w:val="003B1BA6"/>
    <w:rsid w:val="003B288A"/>
    <w:rsid w:val="003B4339"/>
    <w:rsid w:val="003B5EFB"/>
    <w:rsid w:val="003B7A9B"/>
    <w:rsid w:val="003C0AE9"/>
    <w:rsid w:val="003C206F"/>
    <w:rsid w:val="003C3242"/>
    <w:rsid w:val="003C35AA"/>
    <w:rsid w:val="003D0C3C"/>
    <w:rsid w:val="003D7B39"/>
    <w:rsid w:val="003D7D73"/>
    <w:rsid w:val="003E3888"/>
    <w:rsid w:val="003E440A"/>
    <w:rsid w:val="003E6286"/>
    <w:rsid w:val="003F0688"/>
    <w:rsid w:val="003F1179"/>
    <w:rsid w:val="003F1D4A"/>
    <w:rsid w:val="003F2EB9"/>
    <w:rsid w:val="003F4C12"/>
    <w:rsid w:val="003F6D2B"/>
    <w:rsid w:val="003F70AA"/>
    <w:rsid w:val="00400E26"/>
    <w:rsid w:val="0040180A"/>
    <w:rsid w:val="0040214B"/>
    <w:rsid w:val="00407137"/>
    <w:rsid w:val="00412C43"/>
    <w:rsid w:val="00420797"/>
    <w:rsid w:val="00420F6F"/>
    <w:rsid w:val="00420FBE"/>
    <w:rsid w:val="0042364A"/>
    <w:rsid w:val="00425E39"/>
    <w:rsid w:val="00425F33"/>
    <w:rsid w:val="00426634"/>
    <w:rsid w:val="00430D9E"/>
    <w:rsid w:val="004350E8"/>
    <w:rsid w:val="0043715E"/>
    <w:rsid w:val="00442F41"/>
    <w:rsid w:val="00444851"/>
    <w:rsid w:val="00452B27"/>
    <w:rsid w:val="004531BB"/>
    <w:rsid w:val="004537B0"/>
    <w:rsid w:val="00454D0A"/>
    <w:rsid w:val="0045519F"/>
    <w:rsid w:val="0045656A"/>
    <w:rsid w:val="00457E42"/>
    <w:rsid w:val="00460F45"/>
    <w:rsid w:val="004722E8"/>
    <w:rsid w:val="0047243A"/>
    <w:rsid w:val="004736D1"/>
    <w:rsid w:val="00473E5B"/>
    <w:rsid w:val="0048218E"/>
    <w:rsid w:val="00482CAB"/>
    <w:rsid w:val="0048740D"/>
    <w:rsid w:val="0048771B"/>
    <w:rsid w:val="004910D9"/>
    <w:rsid w:val="0049211C"/>
    <w:rsid w:val="00494CE7"/>
    <w:rsid w:val="004966CA"/>
    <w:rsid w:val="00497D3B"/>
    <w:rsid w:val="004A14B7"/>
    <w:rsid w:val="004A5149"/>
    <w:rsid w:val="004A6693"/>
    <w:rsid w:val="004B4C3E"/>
    <w:rsid w:val="004B53E8"/>
    <w:rsid w:val="004B656E"/>
    <w:rsid w:val="004B6A78"/>
    <w:rsid w:val="004C08C1"/>
    <w:rsid w:val="004C1E21"/>
    <w:rsid w:val="004C1E28"/>
    <w:rsid w:val="004C2F43"/>
    <w:rsid w:val="004C35F6"/>
    <w:rsid w:val="004C44A5"/>
    <w:rsid w:val="004C4F4F"/>
    <w:rsid w:val="004D05B6"/>
    <w:rsid w:val="004E0741"/>
    <w:rsid w:val="004E13BB"/>
    <w:rsid w:val="004E1CBA"/>
    <w:rsid w:val="004E2AAA"/>
    <w:rsid w:val="004E4FDD"/>
    <w:rsid w:val="004E6B10"/>
    <w:rsid w:val="004F2AA7"/>
    <w:rsid w:val="004F6A2E"/>
    <w:rsid w:val="00505BD5"/>
    <w:rsid w:val="00506553"/>
    <w:rsid w:val="00510C85"/>
    <w:rsid w:val="00510FC8"/>
    <w:rsid w:val="00512401"/>
    <w:rsid w:val="00514282"/>
    <w:rsid w:val="00514AAD"/>
    <w:rsid w:val="00526906"/>
    <w:rsid w:val="00526E12"/>
    <w:rsid w:val="005321EB"/>
    <w:rsid w:val="00536BB5"/>
    <w:rsid w:val="005408F3"/>
    <w:rsid w:val="005413FF"/>
    <w:rsid w:val="00541964"/>
    <w:rsid w:val="005419F2"/>
    <w:rsid w:val="005426CD"/>
    <w:rsid w:val="0054378E"/>
    <w:rsid w:val="005543BE"/>
    <w:rsid w:val="005558B1"/>
    <w:rsid w:val="0056057C"/>
    <w:rsid w:val="00560B6F"/>
    <w:rsid w:val="00561AE3"/>
    <w:rsid w:val="005628B1"/>
    <w:rsid w:val="0056303A"/>
    <w:rsid w:val="00564182"/>
    <w:rsid w:val="00564415"/>
    <w:rsid w:val="00567787"/>
    <w:rsid w:val="00570B95"/>
    <w:rsid w:val="00572C7D"/>
    <w:rsid w:val="005750BE"/>
    <w:rsid w:val="005765F1"/>
    <w:rsid w:val="005802DA"/>
    <w:rsid w:val="005816F8"/>
    <w:rsid w:val="005827E6"/>
    <w:rsid w:val="00584DD3"/>
    <w:rsid w:val="00586F48"/>
    <w:rsid w:val="00590F5B"/>
    <w:rsid w:val="00597819"/>
    <w:rsid w:val="005A3D66"/>
    <w:rsid w:val="005B0697"/>
    <w:rsid w:val="005B3174"/>
    <w:rsid w:val="005B330C"/>
    <w:rsid w:val="005B4FD1"/>
    <w:rsid w:val="005B5A1B"/>
    <w:rsid w:val="005B6101"/>
    <w:rsid w:val="005C213D"/>
    <w:rsid w:val="005C2371"/>
    <w:rsid w:val="005C5228"/>
    <w:rsid w:val="005C7CD8"/>
    <w:rsid w:val="005D108D"/>
    <w:rsid w:val="005D34FA"/>
    <w:rsid w:val="005D3960"/>
    <w:rsid w:val="005D534B"/>
    <w:rsid w:val="005D5FFE"/>
    <w:rsid w:val="005D657A"/>
    <w:rsid w:val="005D6726"/>
    <w:rsid w:val="005D7FDF"/>
    <w:rsid w:val="005E1F68"/>
    <w:rsid w:val="005E2D7D"/>
    <w:rsid w:val="005E6A98"/>
    <w:rsid w:val="005E7402"/>
    <w:rsid w:val="005E7C79"/>
    <w:rsid w:val="005F1C89"/>
    <w:rsid w:val="005F61FC"/>
    <w:rsid w:val="005F6418"/>
    <w:rsid w:val="00600BD7"/>
    <w:rsid w:val="00613DC8"/>
    <w:rsid w:val="00614AAB"/>
    <w:rsid w:val="0061701F"/>
    <w:rsid w:val="00620049"/>
    <w:rsid w:val="00623943"/>
    <w:rsid w:val="00627207"/>
    <w:rsid w:val="0062796F"/>
    <w:rsid w:val="00632059"/>
    <w:rsid w:val="006345FB"/>
    <w:rsid w:val="00636221"/>
    <w:rsid w:val="006414F4"/>
    <w:rsid w:val="0064567C"/>
    <w:rsid w:val="00646219"/>
    <w:rsid w:val="006501BD"/>
    <w:rsid w:val="006508C0"/>
    <w:rsid w:val="00650B07"/>
    <w:rsid w:val="0065258C"/>
    <w:rsid w:val="006573EC"/>
    <w:rsid w:val="00661365"/>
    <w:rsid w:val="00661FB5"/>
    <w:rsid w:val="00672255"/>
    <w:rsid w:val="006753E7"/>
    <w:rsid w:val="00676046"/>
    <w:rsid w:val="0067776A"/>
    <w:rsid w:val="00677DAA"/>
    <w:rsid w:val="006827F6"/>
    <w:rsid w:val="006845AC"/>
    <w:rsid w:val="00686469"/>
    <w:rsid w:val="00686DFA"/>
    <w:rsid w:val="00687600"/>
    <w:rsid w:val="00692508"/>
    <w:rsid w:val="00695F25"/>
    <w:rsid w:val="0069708A"/>
    <w:rsid w:val="006A0B65"/>
    <w:rsid w:val="006A23CF"/>
    <w:rsid w:val="006B24EB"/>
    <w:rsid w:val="006B4064"/>
    <w:rsid w:val="006C2086"/>
    <w:rsid w:val="006C31DE"/>
    <w:rsid w:val="006C34EF"/>
    <w:rsid w:val="006C4778"/>
    <w:rsid w:val="006D5D39"/>
    <w:rsid w:val="006D7ABD"/>
    <w:rsid w:val="006F0BEC"/>
    <w:rsid w:val="006F0FB3"/>
    <w:rsid w:val="006F1C31"/>
    <w:rsid w:val="006F1EEE"/>
    <w:rsid w:val="006F3EE0"/>
    <w:rsid w:val="006F4BA9"/>
    <w:rsid w:val="006F5E43"/>
    <w:rsid w:val="0070503E"/>
    <w:rsid w:val="00707F97"/>
    <w:rsid w:val="00710D5D"/>
    <w:rsid w:val="00711169"/>
    <w:rsid w:val="00723900"/>
    <w:rsid w:val="00725902"/>
    <w:rsid w:val="00725DAB"/>
    <w:rsid w:val="00727BE3"/>
    <w:rsid w:val="007305F4"/>
    <w:rsid w:val="00731405"/>
    <w:rsid w:val="0073608E"/>
    <w:rsid w:val="00736101"/>
    <w:rsid w:val="007420E0"/>
    <w:rsid w:val="00742A6C"/>
    <w:rsid w:val="00742D0F"/>
    <w:rsid w:val="00745541"/>
    <w:rsid w:val="00747394"/>
    <w:rsid w:val="0074783E"/>
    <w:rsid w:val="00747FAE"/>
    <w:rsid w:val="00750E82"/>
    <w:rsid w:val="00751452"/>
    <w:rsid w:val="00752B11"/>
    <w:rsid w:val="0075333A"/>
    <w:rsid w:val="00754545"/>
    <w:rsid w:val="007560D0"/>
    <w:rsid w:val="00761D13"/>
    <w:rsid w:val="00761ED9"/>
    <w:rsid w:val="007634E3"/>
    <w:rsid w:val="00765ACD"/>
    <w:rsid w:val="00782CC1"/>
    <w:rsid w:val="007860C8"/>
    <w:rsid w:val="00786FE1"/>
    <w:rsid w:val="00791CFA"/>
    <w:rsid w:val="00793B5B"/>
    <w:rsid w:val="00795913"/>
    <w:rsid w:val="007A02C2"/>
    <w:rsid w:val="007A10C0"/>
    <w:rsid w:val="007A6012"/>
    <w:rsid w:val="007A69CE"/>
    <w:rsid w:val="007B1913"/>
    <w:rsid w:val="007B2108"/>
    <w:rsid w:val="007B4816"/>
    <w:rsid w:val="007B55AD"/>
    <w:rsid w:val="007C0D43"/>
    <w:rsid w:val="007C342D"/>
    <w:rsid w:val="007C36BE"/>
    <w:rsid w:val="007C466D"/>
    <w:rsid w:val="007C672E"/>
    <w:rsid w:val="007D05C3"/>
    <w:rsid w:val="007D1F87"/>
    <w:rsid w:val="007D20C0"/>
    <w:rsid w:val="007D61DA"/>
    <w:rsid w:val="007E199C"/>
    <w:rsid w:val="007E3A06"/>
    <w:rsid w:val="007E5CBB"/>
    <w:rsid w:val="007E7434"/>
    <w:rsid w:val="007E7B6F"/>
    <w:rsid w:val="007F010C"/>
    <w:rsid w:val="007F3397"/>
    <w:rsid w:val="007F7B93"/>
    <w:rsid w:val="008016B6"/>
    <w:rsid w:val="00801733"/>
    <w:rsid w:val="008017B7"/>
    <w:rsid w:val="00802684"/>
    <w:rsid w:val="00803A96"/>
    <w:rsid w:val="00806161"/>
    <w:rsid w:val="00811922"/>
    <w:rsid w:val="00814310"/>
    <w:rsid w:val="00817728"/>
    <w:rsid w:val="00824157"/>
    <w:rsid w:val="008307D1"/>
    <w:rsid w:val="008316D8"/>
    <w:rsid w:val="00831E27"/>
    <w:rsid w:val="0083395C"/>
    <w:rsid w:val="00834468"/>
    <w:rsid w:val="00837CC5"/>
    <w:rsid w:val="008473EF"/>
    <w:rsid w:val="008476EB"/>
    <w:rsid w:val="00847995"/>
    <w:rsid w:val="00851039"/>
    <w:rsid w:val="00853616"/>
    <w:rsid w:val="00854635"/>
    <w:rsid w:val="00856A33"/>
    <w:rsid w:val="008609BC"/>
    <w:rsid w:val="00860F53"/>
    <w:rsid w:val="00866C2C"/>
    <w:rsid w:val="00867B7B"/>
    <w:rsid w:val="00867D7C"/>
    <w:rsid w:val="0087010B"/>
    <w:rsid w:val="00871FF0"/>
    <w:rsid w:val="00873E99"/>
    <w:rsid w:val="00875803"/>
    <w:rsid w:val="00876754"/>
    <w:rsid w:val="0087729A"/>
    <w:rsid w:val="00881396"/>
    <w:rsid w:val="008829C8"/>
    <w:rsid w:val="00882B87"/>
    <w:rsid w:val="0088435B"/>
    <w:rsid w:val="008876DE"/>
    <w:rsid w:val="00887B51"/>
    <w:rsid w:val="00887DFC"/>
    <w:rsid w:val="00890C4A"/>
    <w:rsid w:val="008918D7"/>
    <w:rsid w:val="00894640"/>
    <w:rsid w:val="008A098D"/>
    <w:rsid w:val="008A0B04"/>
    <w:rsid w:val="008A0F48"/>
    <w:rsid w:val="008A1533"/>
    <w:rsid w:val="008A2DEC"/>
    <w:rsid w:val="008A4EA6"/>
    <w:rsid w:val="008A5724"/>
    <w:rsid w:val="008A6697"/>
    <w:rsid w:val="008A7887"/>
    <w:rsid w:val="008B0746"/>
    <w:rsid w:val="008B27C5"/>
    <w:rsid w:val="008B337F"/>
    <w:rsid w:val="008B434F"/>
    <w:rsid w:val="008B7257"/>
    <w:rsid w:val="008B788F"/>
    <w:rsid w:val="008C1977"/>
    <w:rsid w:val="008C1C8F"/>
    <w:rsid w:val="008C214C"/>
    <w:rsid w:val="008C23DB"/>
    <w:rsid w:val="008C6659"/>
    <w:rsid w:val="008C724D"/>
    <w:rsid w:val="008D07A2"/>
    <w:rsid w:val="008D2BA8"/>
    <w:rsid w:val="008D44A4"/>
    <w:rsid w:val="008D4698"/>
    <w:rsid w:val="008D5272"/>
    <w:rsid w:val="008D6272"/>
    <w:rsid w:val="008E01E4"/>
    <w:rsid w:val="008E04C4"/>
    <w:rsid w:val="008E5214"/>
    <w:rsid w:val="008E62D6"/>
    <w:rsid w:val="008E70D4"/>
    <w:rsid w:val="008F1CF9"/>
    <w:rsid w:val="008F1FD5"/>
    <w:rsid w:val="008F1FDA"/>
    <w:rsid w:val="008F31E9"/>
    <w:rsid w:val="008F392F"/>
    <w:rsid w:val="008F4AC6"/>
    <w:rsid w:val="008F4F9D"/>
    <w:rsid w:val="008F58BF"/>
    <w:rsid w:val="008F6996"/>
    <w:rsid w:val="0090012A"/>
    <w:rsid w:val="00904E59"/>
    <w:rsid w:val="00906E34"/>
    <w:rsid w:val="00907AF1"/>
    <w:rsid w:val="00907FCC"/>
    <w:rsid w:val="00914C45"/>
    <w:rsid w:val="009202DE"/>
    <w:rsid w:val="009210E7"/>
    <w:rsid w:val="0092256F"/>
    <w:rsid w:val="00923AF9"/>
    <w:rsid w:val="00925517"/>
    <w:rsid w:val="0092630E"/>
    <w:rsid w:val="009319A1"/>
    <w:rsid w:val="009328B2"/>
    <w:rsid w:val="0093474C"/>
    <w:rsid w:val="00936B26"/>
    <w:rsid w:val="00940662"/>
    <w:rsid w:val="00940F35"/>
    <w:rsid w:val="00940F5B"/>
    <w:rsid w:val="00941626"/>
    <w:rsid w:val="009428A6"/>
    <w:rsid w:val="00943082"/>
    <w:rsid w:val="00943204"/>
    <w:rsid w:val="00943373"/>
    <w:rsid w:val="009442F3"/>
    <w:rsid w:val="009450D1"/>
    <w:rsid w:val="00947772"/>
    <w:rsid w:val="00955453"/>
    <w:rsid w:val="009572E0"/>
    <w:rsid w:val="009622C8"/>
    <w:rsid w:val="00964E93"/>
    <w:rsid w:val="00965BD9"/>
    <w:rsid w:val="00970E5A"/>
    <w:rsid w:val="00971581"/>
    <w:rsid w:val="00974E42"/>
    <w:rsid w:val="0097564E"/>
    <w:rsid w:val="0097637F"/>
    <w:rsid w:val="00976811"/>
    <w:rsid w:val="00977364"/>
    <w:rsid w:val="009821FE"/>
    <w:rsid w:val="0098458E"/>
    <w:rsid w:val="00986F3B"/>
    <w:rsid w:val="00991BF4"/>
    <w:rsid w:val="00995409"/>
    <w:rsid w:val="009A3600"/>
    <w:rsid w:val="009A4235"/>
    <w:rsid w:val="009A52FB"/>
    <w:rsid w:val="009A6319"/>
    <w:rsid w:val="009A7AFA"/>
    <w:rsid w:val="009B394F"/>
    <w:rsid w:val="009B4234"/>
    <w:rsid w:val="009B53B0"/>
    <w:rsid w:val="009B5813"/>
    <w:rsid w:val="009B5A2A"/>
    <w:rsid w:val="009B695F"/>
    <w:rsid w:val="009B7114"/>
    <w:rsid w:val="009B73E9"/>
    <w:rsid w:val="009B7DB7"/>
    <w:rsid w:val="009B7E19"/>
    <w:rsid w:val="009C0672"/>
    <w:rsid w:val="009C45B0"/>
    <w:rsid w:val="009C5B70"/>
    <w:rsid w:val="009C6562"/>
    <w:rsid w:val="009C675A"/>
    <w:rsid w:val="009C68E4"/>
    <w:rsid w:val="009D0775"/>
    <w:rsid w:val="009D1BAB"/>
    <w:rsid w:val="009D36EC"/>
    <w:rsid w:val="009D5C45"/>
    <w:rsid w:val="009D611C"/>
    <w:rsid w:val="009D6896"/>
    <w:rsid w:val="009E1241"/>
    <w:rsid w:val="009E1C2D"/>
    <w:rsid w:val="009E575C"/>
    <w:rsid w:val="009E69B3"/>
    <w:rsid w:val="009F156A"/>
    <w:rsid w:val="009F2117"/>
    <w:rsid w:val="00A00C6F"/>
    <w:rsid w:val="00A03201"/>
    <w:rsid w:val="00A03AE8"/>
    <w:rsid w:val="00A05331"/>
    <w:rsid w:val="00A10A20"/>
    <w:rsid w:val="00A121A2"/>
    <w:rsid w:val="00A15E88"/>
    <w:rsid w:val="00A22EB1"/>
    <w:rsid w:val="00A239C4"/>
    <w:rsid w:val="00A23E14"/>
    <w:rsid w:val="00A272F3"/>
    <w:rsid w:val="00A27C6E"/>
    <w:rsid w:val="00A305C0"/>
    <w:rsid w:val="00A3397C"/>
    <w:rsid w:val="00A35544"/>
    <w:rsid w:val="00A3594D"/>
    <w:rsid w:val="00A36D16"/>
    <w:rsid w:val="00A37793"/>
    <w:rsid w:val="00A407E3"/>
    <w:rsid w:val="00A4226B"/>
    <w:rsid w:val="00A42320"/>
    <w:rsid w:val="00A42C9F"/>
    <w:rsid w:val="00A43D44"/>
    <w:rsid w:val="00A44A58"/>
    <w:rsid w:val="00A45BA1"/>
    <w:rsid w:val="00A46630"/>
    <w:rsid w:val="00A50AC5"/>
    <w:rsid w:val="00A52C59"/>
    <w:rsid w:val="00A54816"/>
    <w:rsid w:val="00A55DD3"/>
    <w:rsid w:val="00A604AB"/>
    <w:rsid w:val="00A627A8"/>
    <w:rsid w:val="00A63C42"/>
    <w:rsid w:val="00A66669"/>
    <w:rsid w:val="00A66DD9"/>
    <w:rsid w:val="00A67E8F"/>
    <w:rsid w:val="00A70A25"/>
    <w:rsid w:val="00A70D73"/>
    <w:rsid w:val="00A721E9"/>
    <w:rsid w:val="00A73F91"/>
    <w:rsid w:val="00A77E17"/>
    <w:rsid w:val="00A828F9"/>
    <w:rsid w:val="00A82DCC"/>
    <w:rsid w:val="00A83659"/>
    <w:rsid w:val="00A843C5"/>
    <w:rsid w:val="00A855B1"/>
    <w:rsid w:val="00A92019"/>
    <w:rsid w:val="00A95B49"/>
    <w:rsid w:val="00A96A41"/>
    <w:rsid w:val="00A9712E"/>
    <w:rsid w:val="00AA5BD8"/>
    <w:rsid w:val="00AA67EA"/>
    <w:rsid w:val="00AA6D42"/>
    <w:rsid w:val="00AB127A"/>
    <w:rsid w:val="00AB394B"/>
    <w:rsid w:val="00AB3F56"/>
    <w:rsid w:val="00AB6010"/>
    <w:rsid w:val="00AB65B6"/>
    <w:rsid w:val="00AC2FF7"/>
    <w:rsid w:val="00AC4BA1"/>
    <w:rsid w:val="00AD0384"/>
    <w:rsid w:val="00AD0A8E"/>
    <w:rsid w:val="00AD0AF9"/>
    <w:rsid w:val="00AD1222"/>
    <w:rsid w:val="00AD52D1"/>
    <w:rsid w:val="00AD705E"/>
    <w:rsid w:val="00AD7235"/>
    <w:rsid w:val="00AE20E7"/>
    <w:rsid w:val="00AE2274"/>
    <w:rsid w:val="00AE33C0"/>
    <w:rsid w:val="00AE4B49"/>
    <w:rsid w:val="00AE51A9"/>
    <w:rsid w:val="00AE588F"/>
    <w:rsid w:val="00AE5D84"/>
    <w:rsid w:val="00AF143C"/>
    <w:rsid w:val="00AF1E40"/>
    <w:rsid w:val="00AF1ED3"/>
    <w:rsid w:val="00AF4777"/>
    <w:rsid w:val="00AF662C"/>
    <w:rsid w:val="00AF6CAC"/>
    <w:rsid w:val="00B007A9"/>
    <w:rsid w:val="00B01685"/>
    <w:rsid w:val="00B02641"/>
    <w:rsid w:val="00B04640"/>
    <w:rsid w:val="00B07FAD"/>
    <w:rsid w:val="00B1000A"/>
    <w:rsid w:val="00B10B90"/>
    <w:rsid w:val="00B16C3C"/>
    <w:rsid w:val="00B2002C"/>
    <w:rsid w:val="00B21804"/>
    <w:rsid w:val="00B2376A"/>
    <w:rsid w:val="00B25AA9"/>
    <w:rsid w:val="00B26E6A"/>
    <w:rsid w:val="00B32533"/>
    <w:rsid w:val="00B37800"/>
    <w:rsid w:val="00B43226"/>
    <w:rsid w:val="00B44E89"/>
    <w:rsid w:val="00B45988"/>
    <w:rsid w:val="00B54FDE"/>
    <w:rsid w:val="00B55DFF"/>
    <w:rsid w:val="00B60E31"/>
    <w:rsid w:val="00B62DE3"/>
    <w:rsid w:val="00B631C0"/>
    <w:rsid w:val="00B6548A"/>
    <w:rsid w:val="00B678F2"/>
    <w:rsid w:val="00B70E1D"/>
    <w:rsid w:val="00B70E4A"/>
    <w:rsid w:val="00B74E63"/>
    <w:rsid w:val="00B7568E"/>
    <w:rsid w:val="00B76218"/>
    <w:rsid w:val="00B76E5F"/>
    <w:rsid w:val="00B819F2"/>
    <w:rsid w:val="00B90D92"/>
    <w:rsid w:val="00B90FB4"/>
    <w:rsid w:val="00B92132"/>
    <w:rsid w:val="00B924DB"/>
    <w:rsid w:val="00B96470"/>
    <w:rsid w:val="00B97196"/>
    <w:rsid w:val="00B97ABD"/>
    <w:rsid w:val="00BA45CD"/>
    <w:rsid w:val="00BA5112"/>
    <w:rsid w:val="00BA52C0"/>
    <w:rsid w:val="00BA7574"/>
    <w:rsid w:val="00BA7E54"/>
    <w:rsid w:val="00BB0923"/>
    <w:rsid w:val="00BB3A65"/>
    <w:rsid w:val="00BB46AE"/>
    <w:rsid w:val="00BC24A2"/>
    <w:rsid w:val="00BC2B44"/>
    <w:rsid w:val="00BC49B3"/>
    <w:rsid w:val="00BC4B59"/>
    <w:rsid w:val="00BD12C9"/>
    <w:rsid w:val="00BD33F7"/>
    <w:rsid w:val="00BD4253"/>
    <w:rsid w:val="00BD44B3"/>
    <w:rsid w:val="00BD5F9C"/>
    <w:rsid w:val="00BE1E55"/>
    <w:rsid w:val="00BE5C72"/>
    <w:rsid w:val="00BE646D"/>
    <w:rsid w:val="00BE6F3B"/>
    <w:rsid w:val="00BF0003"/>
    <w:rsid w:val="00BF209F"/>
    <w:rsid w:val="00BF4BE8"/>
    <w:rsid w:val="00BF68EC"/>
    <w:rsid w:val="00BF70C4"/>
    <w:rsid w:val="00BF7AD4"/>
    <w:rsid w:val="00C00106"/>
    <w:rsid w:val="00C0043B"/>
    <w:rsid w:val="00C05EC7"/>
    <w:rsid w:val="00C117A5"/>
    <w:rsid w:val="00C139C7"/>
    <w:rsid w:val="00C14BC5"/>
    <w:rsid w:val="00C15E48"/>
    <w:rsid w:val="00C1782D"/>
    <w:rsid w:val="00C204D1"/>
    <w:rsid w:val="00C22902"/>
    <w:rsid w:val="00C22B52"/>
    <w:rsid w:val="00C24C59"/>
    <w:rsid w:val="00C25863"/>
    <w:rsid w:val="00C27B28"/>
    <w:rsid w:val="00C315CD"/>
    <w:rsid w:val="00C331D1"/>
    <w:rsid w:val="00C333A8"/>
    <w:rsid w:val="00C338DE"/>
    <w:rsid w:val="00C37AA9"/>
    <w:rsid w:val="00C40C83"/>
    <w:rsid w:val="00C40DBA"/>
    <w:rsid w:val="00C45063"/>
    <w:rsid w:val="00C51A1D"/>
    <w:rsid w:val="00C5217D"/>
    <w:rsid w:val="00C55694"/>
    <w:rsid w:val="00C5735C"/>
    <w:rsid w:val="00C6287A"/>
    <w:rsid w:val="00C62DA2"/>
    <w:rsid w:val="00C63BCC"/>
    <w:rsid w:val="00C645DB"/>
    <w:rsid w:val="00C662CD"/>
    <w:rsid w:val="00C70288"/>
    <w:rsid w:val="00C73A30"/>
    <w:rsid w:val="00C742B1"/>
    <w:rsid w:val="00C744A4"/>
    <w:rsid w:val="00C82349"/>
    <w:rsid w:val="00C82737"/>
    <w:rsid w:val="00C86ACC"/>
    <w:rsid w:val="00C91040"/>
    <w:rsid w:val="00C92672"/>
    <w:rsid w:val="00C97167"/>
    <w:rsid w:val="00CA2AE6"/>
    <w:rsid w:val="00CA61AD"/>
    <w:rsid w:val="00CB4013"/>
    <w:rsid w:val="00CC0BFB"/>
    <w:rsid w:val="00CC1218"/>
    <w:rsid w:val="00CC49C3"/>
    <w:rsid w:val="00CC5C25"/>
    <w:rsid w:val="00CC7D4A"/>
    <w:rsid w:val="00CD0DF3"/>
    <w:rsid w:val="00CD138A"/>
    <w:rsid w:val="00CD240F"/>
    <w:rsid w:val="00CD4ABF"/>
    <w:rsid w:val="00CD4CCF"/>
    <w:rsid w:val="00CD6F29"/>
    <w:rsid w:val="00CD76EF"/>
    <w:rsid w:val="00CE3751"/>
    <w:rsid w:val="00CE738A"/>
    <w:rsid w:val="00CE7512"/>
    <w:rsid w:val="00CE79D8"/>
    <w:rsid w:val="00CF01EA"/>
    <w:rsid w:val="00CF246A"/>
    <w:rsid w:val="00CF35DF"/>
    <w:rsid w:val="00CF668C"/>
    <w:rsid w:val="00CF7EEC"/>
    <w:rsid w:val="00D00592"/>
    <w:rsid w:val="00D0125F"/>
    <w:rsid w:val="00D02EAD"/>
    <w:rsid w:val="00D03528"/>
    <w:rsid w:val="00D03D02"/>
    <w:rsid w:val="00D04315"/>
    <w:rsid w:val="00D04847"/>
    <w:rsid w:val="00D0742E"/>
    <w:rsid w:val="00D07DF2"/>
    <w:rsid w:val="00D10057"/>
    <w:rsid w:val="00D11B76"/>
    <w:rsid w:val="00D167DA"/>
    <w:rsid w:val="00D21751"/>
    <w:rsid w:val="00D24732"/>
    <w:rsid w:val="00D24D3F"/>
    <w:rsid w:val="00D2555F"/>
    <w:rsid w:val="00D255EF"/>
    <w:rsid w:val="00D25A80"/>
    <w:rsid w:val="00D27708"/>
    <w:rsid w:val="00D324F6"/>
    <w:rsid w:val="00D34151"/>
    <w:rsid w:val="00D34CFD"/>
    <w:rsid w:val="00D36BB0"/>
    <w:rsid w:val="00D4293D"/>
    <w:rsid w:val="00D432B1"/>
    <w:rsid w:val="00D51F91"/>
    <w:rsid w:val="00D524CA"/>
    <w:rsid w:val="00D56B85"/>
    <w:rsid w:val="00D57AC9"/>
    <w:rsid w:val="00D601FA"/>
    <w:rsid w:val="00D60C74"/>
    <w:rsid w:val="00D62C72"/>
    <w:rsid w:val="00D62C93"/>
    <w:rsid w:val="00D63752"/>
    <w:rsid w:val="00D65D96"/>
    <w:rsid w:val="00D70C2D"/>
    <w:rsid w:val="00D735E4"/>
    <w:rsid w:val="00D7569B"/>
    <w:rsid w:val="00D8174A"/>
    <w:rsid w:val="00D82A66"/>
    <w:rsid w:val="00D875B5"/>
    <w:rsid w:val="00D91158"/>
    <w:rsid w:val="00D922E1"/>
    <w:rsid w:val="00DA06EF"/>
    <w:rsid w:val="00DA126F"/>
    <w:rsid w:val="00DA5D07"/>
    <w:rsid w:val="00DA72AA"/>
    <w:rsid w:val="00DB4EFB"/>
    <w:rsid w:val="00DB536D"/>
    <w:rsid w:val="00DB58D3"/>
    <w:rsid w:val="00DB62E4"/>
    <w:rsid w:val="00DB7CB5"/>
    <w:rsid w:val="00DC0EBE"/>
    <w:rsid w:val="00DC4168"/>
    <w:rsid w:val="00DC4486"/>
    <w:rsid w:val="00DC47C2"/>
    <w:rsid w:val="00DC4D80"/>
    <w:rsid w:val="00DC5914"/>
    <w:rsid w:val="00DC6E0C"/>
    <w:rsid w:val="00DC74B4"/>
    <w:rsid w:val="00DC755C"/>
    <w:rsid w:val="00DD06D2"/>
    <w:rsid w:val="00DD199B"/>
    <w:rsid w:val="00DD2A5D"/>
    <w:rsid w:val="00DD5199"/>
    <w:rsid w:val="00DD5D93"/>
    <w:rsid w:val="00DD7871"/>
    <w:rsid w:val="00DE41A2"/>
    <w:rsid w:val="00DF7B60"/>
    <w:rsid w:val="00E000B9"/>
    <w:rsid w:val="00E01D5C"/>
    <w:rsid w:val="00E15451"/>
    <w:rsid w:val="00E15FD4"/>
    <w:rsid w:val="00E16CF1"/>
    <w:rsid w:val="00E17A23"/>
    <w:rsid w:val="00E21B97"/>
    <w:rsid w:val="00E25915"/>
    <w:rsid w:val="00E263DF"/>
    <w:rsid w:val="00E26A33"/>
    <w:rsid w:val="00E30320"/>
    <w:rsid w:val="00E304CC"/>
    <w:rsid w:val="00E321A3"/>
    <w:rsid w:val="00E34690"/>
    <w:rsid w:val="00E3480F"/>
    <w:rsid w:val="00E4164B"/>
    <w:rsid w:val="00E45514"/>
    <w:rsid w:val="00E461EF"/>
    <w:rsid w:val="00E51EC5"/>
    <w:rsid w:val="00E530DB"/>
    <w:rsid w:val="00E5321D"/>
    <w:rsid w:val="00E53915"/>
    <w:rsid w:val="00E5418A"/>
    <w:rsid w:val="00E5549A"/>
    <w:rsid w:val="00E60171"/>
    <w:rsid w:val="00E60495"/>
    <w:rsid w:val="00E6541B"/>
    <w:rsid w:val="00E65657"/>
    <w:rsid w:val="00E658DB"/>
    <w:rsid w:val="00E667CB"/>
    <w:rsid w:val="00E66FBB"/>
    <w:rsid w:val="00E67BC3"/>
    <w:rsid w:val="00E764B0"/>
    <w:rsid w:val="00E837E2"/>
    <w:rsid w:val="00E83AC3"/>
    <w:rsid w:val="00E8413D"/>
    <w:rsid w:val="00E858F8"/>
    <w:rsid w:val="00E90BB1"/>
    <w:rsid w:val="00E918D0"/>
    <w:rsid w:val="00E9287F"/>
    <w:rsid w:val="00E94665"/>
    <w:rsid w:val="00EA1476"/>
    <w:rsid w:val="00EA23F4"/>
    <w:rsid w:val="00EA3046"/>
    <w:rsid w:val="00EA3580"/>
    <w:rsid w:val="00EA5EC2"/>
    <w:rsid w:val="00EB581A"/>
    <w:rsid w:val="00EB6E6D"/>
    <w:rsid w:val="00EC3A39"/>
    <w:rsid w:val="00EC4A66"/>
    <w:rsid w:val="00ED6A83"/>
    <w:rsid w:val="00ED779C"/>
    <w:rsid w:val="00EE1596"/>
    <w:rsid w:val="00EE17EB"/>
    <w:rsid w:val="00EE487D"/>
    <w:rsid w:val="00EE65F5"/>
    <w:rsid w:val="00EE7FF2"/>
    <w:rsid w:val="00EF03EE"/>
    <w:rsid w:val="00EF131E"/>
    <w:rsid w:val="00EF3952"/>
    <w:rsid w:val="00EF422F"/>
    <w:rsid w:val="00EF4C38"/>
    <w:rsid w:val="00F0295E"/>
    <w:rsid w:val="00F0526D"/>
    <w:rsid w:val="00F0614D"/>
    <w:rsid w:val="00F13317"/>
    <w:rsid w:val="00F13C5C"/>
    <w:rsid w:val="00F1563F"/>
    <w:rsid w:val="00F157EA"/>
    <w:rsid w:val="00F168B4"/>
    <w:rsid w:val="00F20FE0"/>
    <w:rsid w:val="00F21C09"/>
    <w:rsid w:val="00F24BDF"/>
    <w:rsid w:val="00F24C91"/>
    <w:rsid w:val="00F26441"/>
    <w:rsid w:val="00F27162"/>
    <w:rsid w:val="00F27297"/>
    <w:rsid w:val="00F30FFD"/>
    <w:rsid w:val="00F31CE8"/>
    <w:rsid w:val="00F323A2"/>
    <w:rsid w:val="00F37B7A"/>
    <w:rsid w:val="00F37D0F"/>
    <w:rsid w:val="00F44065"/>
    <w:rsid w:val="00F441BD"/>
    <w:rsid w:val="00F448CD"/>
    <w:rsid w:val="00F44E25"/>
    <w:rsid w:val="00F469E5"/>
    <w:rsid w:val="00F50D9B"/>
    <w:rsid w:val="00F5137D"/>
    <w:rsid w:val="00F553FE"/>
    <w:rsid w:val="00F55B75"/>
    <w:rsid w:val="00F567AB"/>
    <w:rsid w:val="00F576DF"/>
    <w:rsid w:val="00F604A9"/>
    <w:rsid w:val="00F607F6"/>
    <w:rsid w:val="00F61697"/>
    <w:rsid w:val="00F62EAB"/>
    <w:rsid w:val="00F63780"/>
    <w:rsid w:val="00F66497"/>
    <w:rsid w:val="00F66AB5"/>
    <w:rsid w:val="00F704FC"/>
    <w:rsid w:val="00F7065C"/>
    <w:rsid w:val="00F71FD8"/>
    <w:rsid w:val="00F72D78"/>
    <w:rsid w:val="00F74383"/>
    <w:rsid w:val="00F761DA"/>
    <w:rsid w:val="00F764C8"/>
    <w:rsid w:val="00F81863"/>
    <w:rsid w:val="00F818A8"/>
    <w:rsid w:val="00F85AB5"/>
    <w:rsid w:val="00FA23D5"/>
    <w:rsid w:val="00FA2E09"/>
    <w:rsid w:val="00FA3326"/>
    <w:rsid w:val="00FA6DA6"/>
    <w:rsid w:val="00FB0C83"/>
    <w:rsid w:val="00FB3109"/>
    <w:rsid w:val="00FB3D44"/>
    <w:rsid w:val="00FB5788"/>
    <w:rsid w:val="00FB6CF3"/>
    <w:rsid w:val="00FC718E"/>
    <w:rsid w:val="00FC7C54"/>
    <w:rsid w:val="00FC7DAF"/>
    <w:rsid w:val="00FD0351"/>
    <w:rsid w:val="00FD1339"/>
    <w:rsid w:val="00FD711A"/>
    <w:rsid w:val="00FD75DB"/>
    <w:rsid w:val="00FD7A6B"/>
    <w:rsid w:val="00FE4E2E"/>
    <w:rsid w:val="00FE54F6"/>
    <w:rsid w:val="00FE5EBE"/>
    <w:rsid w:val="00FE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7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7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1413</Characters>
  <Application>Microsoft Office Word</Application>
  <DocSecurity>0</DocSecurity>
  <Lines>11</Lines>
  <Paragraphs>3</Paragraphs>
  <ScaleCrop>false</ScaleCrop>
  <Company>Hewlett-Packard</Company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2016-12-13T13:22:00Z</dcterms:created>
  <dcterms:modified xsi:type="dcterms:W3CDTF">2016-12-13T23:55:00Z</dcterms:modified>
</cp:coreProperties>
</file>