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2F4" w:rsidRPr="000C4C2E" w:rsidRDefault="006F62F4" w:rsidP="006F62F4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Additional file 3: </w:t>
      </w:r>
      <w:r w:rsidRPr="000C4C2E">
        <w:rPr>
          <w:rFonts w:ascii="Calibri" w:hAnsi="Calibri"/>
          <w:b/>
        </w:rPr>
        <w:t xml:space="preserve">Table </w:t>
      </w:r>
      <w:r>
        <w:rPr>
          <w:rFonts w:ascii="Calibri" w:hAnsi="Calibri"/>
          <w:b/>
        </w:rPr>
        <w:t>S3</w:t>
      </w:r>
      <w:r w:rsidRPr="000C4C2E">
        <w:rPr>
          <w:rFonts w:ascii="Calibri" w:hAnsi="Calibri"/>
          <w:b/>
        </w:rPr>
        <w:t xml:space="preserve">. </w:t>
      </w:r>
      <w:r w:rsidRPr="000C4C2E">
        <w:rPr>
          <w:rFonts w:ascii="Calibri" w:hAnsi="Calibri"/>
        </w:rPr>
        <w:t>FEAST data: Risk ratio of death for bolus versus no bolus according to the presence or absence of individual shock signs</w:t>
      </w:r>
      <w:r w:rsidRPr="000C4C2E">
        <w:rPr>
          <w:rFonts w:ascii="Calibri" w:hAnsi="Calibri"/>
          <w:b/>
        </w:rPr>
        <w:t xml:space="preserve"> </w:t>
      </w:r>
    </w:p>
    <w:p w:rsidR="006F62F4" w:rsidRPr="007B387C" w:rsidRDefault="006F62F4" w:rsidP="006F62F4">
      <w:pPr>
        <w:jc w:val="both"/>
        <w:rPr>
          <w:rFonts w:ascii="Calibri" w:hAnsi="Calibri"/>
          <w:sz w:val="22"/>
          <w:szCs w:val="22"/>
        </w:rPr>
      </w:pPr>
    </w:p>
    <w:tbl>
      <w:tblPr>
        <w:tblStyle w:val="TableGrid"/>
        <w:tblW w:w="0" w:type="auto"/>
        <w:tblInd w:w="-205" w:type="dxa"/>
        <w:tblLook w:val="04A0"/>
      </w:tblPr>
      <w:tblGrid>
        <w:gridCol w:w="2298"/>
        <w:gridCol w:w="1701"/>
        <w:gridCol w:w="1885"/>
        <w:gridCol w:w="666"/>
        <w:gridCol w:w="1985"/>
      </w:tblGrid>
      <w:tr w:rsidR="006F62F4" w:rsidRPr="007B387C" w:rsidTr="00961B29">
        <w:trPr>
          <w:trHeight w:val="295"/>
        </w:trPr>
        <w:tc>
          <w:tcPr>
            <w:tcW w:w="2298" w:type="dxa"/>
            <w:vMerge w:val="restart"/>
          </w:tcPr>
          <w:p w:rsidR="006F62F4" w:rsidRPr="007B387C" w:rsidRDefault="006F62F4" w:rsidP="00961B2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B387C">
              <w:rPr>
                <w:rFonts w:ascii="Calibri" w:hAnsi="Calibri"/>
                <w:b/>
                <w:sz w:val="22"/>
                <w:szCs w:val="22"/>
              </w:rPr>
              <w:t>Impaired perfusion sign</w:t>
            </w:r>
          </w:p>
        </w:tc>
        <w:tc>
          <w:tcPr>
            <w:tcW w:w="3586" w:type="dxa"/>
            <w:gridSpan w:val="2"/>
          </w:tcPr>
          <w:p w:rsidR="006F62F4" w:rsidRPr="007B387C" w:rsidRDefault="006F62F4" w:rsidP="00961B29">
            <w:pPr>
              <w:jc w:val="center"/>
              <w:rPr>
                <w:rFonts w:ascii="Calibri" w:eastAsia="Arial" w:hAnsi="Calibri" w:cs="Arial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 w:rsidRPr="007B387C">
              <w:rPr>
                <w:rFonts w:ascii="Calibri" w:eastAsia="Arial" w:hAnsi="Calibri" w:cs="Arial"/>
                <w:b/>
                <w:color w:val="000000" w:themeColor="text1"/>
                <w:kern w:val="24"/>
                <w:sz w:val="22"/>
                <w:szCs w:val="22"/>
              </w:rPr>
              <w:t xml:space="preserve">Risk ratio (Bolus </w:t>
            </w:r>
            <w:proofErr w:type="spellStart"/>
            <w:r w:rsidRPr="007B387C">
              <w:rPr>
                <w:rFonts w:ascii="Calibri" w:eastAsia="Arial" w:hAnsi="Calibri" w:cs="Arial"/>
                <w:b/>
                <w:color w:val="000000" w:themeColor="text1"/>
                <w:kern w:val="24"/>
                <w:sz w:val="22"/>
                <w:szCs w:val="22"/>
              </w:rPr>
              <w:t>vs</w:t>
            </w:r>
            <w:proofErr w:type="spellEnd"/>
            <w:r w:rsidRPr="007B387C">
              <w:rPr>
                <w:rFonts w:ascii="Calibri" w:eastAsia="Arial" w:hAnsi="Calibri" w:cs="Arial"/>
                <w:b/>
                <w:color w:val="000000" w:themeColor="text1"/>
                <w:kern w:val="24"/>
                <w:sz w:val="22"/>
                <w:szCs w:val="22"/>
              </w:rPr>
              <w:t xml:space="preserve"> no Bolus)</w:t>
            </w:r>
          </w:p>
        </w:tc>
        <w:tc>
          <w:tcPr>
            <w:tcW w:w="666" w:type="dxa"/>
            <w:vMerge w:val="restart"/>
          </w:tcPr>
          <w:p w:rsidR="006F62F4" w:rsidRPr="007B387C" w:rsidRDefault="006F62F4" w:rsidP="00961B29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7B387C">
              <w:rPr>
                <w:rFonts w:ascii="Calibri" w:eastAsia="Arial" w:hAnsi="Calibri" w:cs="Arial"/>
                <w:b/>
                <w:color w:val="000000" w:themeColor="text1"/>
                <w:kern w:val="24"/>
                <w:sz w:val="22"/>
                <w:szCs w:val="22"/>
              </w:rPr>
              <w:t>P</w:t>
            </w:r>
            <w:r w:rsidRPr="007B387C">
              <w:rPr>
                <w:rFonts w:ascii="Calibri" w:eastAsia="Arial" w:hAnsi="Calibri" w:cs="Arial"/>
                <w:b/>
                <w:color w:val="000000" w:themeColor="text1"/>
                <w:kern w:val="24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985" w:type="dxa"/>
            <w:vMerge w:val="restart"/>
          </w:tcPr>
          <w:p w:rsidR="006F62F4" w:rsidRPr="007B387C" w:rsidRDefault="006F62F4" w:rsidP="00961B29">
            <w:pPr>
              <w:jc w:val="center"/>
              <w:rPr>
                <w:rFonts w:ascii="Calibri" w:eastAsia="Arial" w:hAnsi="Calibri" w:cs="Arial"/>
                <w:b/>
                <w:color w:val="000000" w:themeColor="text1"/>
                <w:kern w:val="24"/>
                <w:sz w:val="22"/>
                <w:szCs w:val="22"/>
              </w:rPr>
            </w:pPr>
            <w:r w:rsidRPr="007B387C">
              <w:rPr>
                <w:rFonts w:ascii="Calibri" w:eastAsia="Arial" w:hAnsi="Calibri" w:cs="Arial"/>
                <w:b/>
                <w:color w:val="000000" w:themeColor="text1"/>
                <w:kern w:val="24"/>
                <w:sz w:val="22"/>
                <w:szCs w:val="22"/>
              </w:rPr>
              <w:t xml:space="preserve">Adjusted risk </w:t>
            </w:r>
            <w:proofErr w:type="spellStart"/>
            <w:r w:rsidRPr="007B387C">
              <w:rPr>
                <w:rFonts w:ascii="Calibri" w:eastAsia="Arial" w:hAnsi="Calibri" w:cs="Arial"/>
                <w:b/>
                <w:color w:val="000000" w:themeColor="text1"/>
                <w:kern w:val="24"/>
                <w:sz w:val="22"/>
                <w:szCs w:val="22"/>
              </w:rPr>
              <w:t>ratio</w:t>
            </w:r>
            <w:r w:rsidRPr="007B387C">
              <w:rPr>
                <w:rFonts w:ascii="Calibri" w:eastAsia="Arial" w:hAnsi="Calibri" w:cs="Arial"/>
                <w:b/>
                <w:color w:val="000000" w:themeColor="text1"/>
                <w:kern w:val="24"/>
                <w:sz w:val="22"/>
                <w:szCs w:val="22"/>
                <w:vertAlign w:val="superscript"/>
              </w:rPr>
              <w:t>b</w:t>
            </w:r>
            <w:proofErr w:type="spellEnd"/>
          </w:p>
          <w:p w:rsidR="006F62F4" w:rsidRPr="007B387C" w:rsidRDefault="006F62F4" w:rsidP="00961B2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B387C">
              <w:rPr>
                <w:rFonts w:ascii="Calibri" w:eastAsia="Arial" w:hAnsi="Calibri" w:cs="Arial"/>
                <w:b/>
                <w:color w:val="000000" w:themeColor="text1"/>
                <w:kern w:val="24"/>
                <w:sz w:val="22"/>
                <w:szCs w:val="22"/>
              </w:rPr>
              <w:t>(95% CI)</w:t>
            </w:r>
          </w:p>
        </w:tc>
      </w:tr>
      <w:tr w:rsidR="006F62F4" w:rsidRPr="007B387C" w:rsidTr="00961B29">
        <w:trPr>
          <w:trHeight w:val="271"/>
        </w:trPr>
        <w:tc>
          <w:tcPr>
            <w:tcW w:w="2298" w:type="dxa"/>
            <w:vMerge/>
          </w:tcPr>
          <w:p w:rsidR="006F62F4" w:rsidRPr="007B387C" w:rsidRDefault="006F62F4" w:rsidP="00961B29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6F62F4" w:rsidRPr="007B387C" w:rsidRDefault="006F62F4" w:rsidP="00961B29">
            <w:pPr>
              <w:jc w:val="center"/>
              <w:rPr>
                <w:rFonts w:ascii="Calibri" w:eastAsia="Arial" w:hAnsi="Calibri" w:cs="Arial"/>
                <w:b/>
                <w:color w:val="000000" w:themeColor="text1"/>
                <w:kern w:val="24"/>
                <w:sz w:val="22"/>
                <w:szCs w:val="22"/>
              </w:rPr>
            </w:pPr>
            <w:r w:rsidRPr="007B387C">
              <w:rPr>
                <w:rFonts w:ascii="Calibri" w:eastAsia="Arial" w:hAnsi="Calibri" w:cs="Arial"/>
                <w:b/>
                <w:color w:val="000000" w:themeColor="text1"/>
                <w:kern w:val="24"/>
                <w:sz w:val="22"/>
                <w:szCs w:val="22"/>
              </w:rPr>
              <w:t>(Sign present)</w:t>
            </w:r>
          </w:p>
        </w:tc>
        <w:tc>
          <w:tcPr>
            <w:tcW w:w="1885" w:type="dxa"/>
          </w:tcPr>
          <w:p w:rsidR="006F62F4" w:rsidRPr="007B387C" w:rsidRDefault="006F62F4" w:rsidP="00961B29">
            <w:pPr>
              <w:jc w:val="center"/>
              <w:rPr>
                <w:rFonts w:ascii="Calibri" w:eastAsia="Arial" w:hAnsi="Calibri" w:cs="Arial"/>
                <w:b/>
                <w:color w:val="000000" w:themeColor="text1"/>
                <w:kern w:val="24"/>
                <w:sz w:val="22"/>
                <w:szCs w:val="22"/>
              </w:rPr>
            </w:pPr>
            <w:r w:rsidRPr="007B387C">
              <w:rPr>
                <w:rFonts w:ascii="Calibri" w:eastAsia="Arial" w:hAnsi="Calibri" w:cs="Arial"/>
                <w:b/>
                <w:color w:val="000000" w:themeColor="text1"/>
                <w:kern w:val="24"/>
                <w:sz w:val="22"/>
                <w:szCs w:val="22"/>
              </w:rPr>
              <w:t>(Sign absent)</w:t>
            </w:r>
          </w:p>
        </w:tc>
        <w:tc>
          <w:tcPr>
            <w:tcW w:w="666" w:type="dxa"/>
            <w:vMerge/>
          </w:tcPr>
          <w:p w:rsidR="006F62F4" w:rsidRPr="007B387C" w:rsidRDefault="006F62F4" w:rsidP="00961B29">
            <w:pPr>
              <w:jc w:val="both"/>
              <w:rPr>
                <w:rFonts w:ascii="Calibri" w:eastAsia="Arial" w:hAnsi="Calibri" w:cs="Arial"/>
                <w:b/>
                <w:color w:val="000000" w:themeColor="text1"/>
                <w:kern w:val="24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F62F4" w:rsidRPr="007B387C" w:rsidRDefault="006F62F4" w:rsidP="00961B29">
            <w:pPr>
              <w:jc w:val="both"/>
              <w:rPr>
                <w:rFonts w:ascii="Calibri" w:eastAsia="Arial" w:hAnsi="Calibri" w:cs="Arial"/>
                <w:b/>
                <w:color w:val="000000" w:themeColor="text1"/>
                <w:kern w:val="24"/>
                <w:sz w:val="22"/>
                <w:szCs w:val="22"/>
              </w:rPr>
            </w:pPr>
          </w:p>
        </w:tc>
      </w:tr>
      <w:tr w:rsidR="006F62F4" w:rsidRPr="007B387C" w:rsidTr="00961B29">
        <w:trPr>
          <w:trHeight w:val="299"/>
        </w:trPr>
        <w:tc>
          <w:tcPr>
            <w:tcW w:w="2298" w:type="dxa"/>
          </w:tcPr>
          <w:p w:rsidR="006F62F4" w:rsidRPr="007B387C" w:rsidRDefault="006F62F4" w:rsidP="00961B2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B387C">
              <w:rPr>
                <w:rFonts w:ascii="Calibri" w:hAnsi="Calibri"/>
                <w:sz w:val="22"/>
                <w:szCs w:val="22"/>
              </w:rPr>
              <w:t>Severe tachycardia</w:t>
            </w:r>
          </w:p>
        </w:tc>
        <w:tc>
          <w:tcPr>
            <w:tcW w:w="1701" w:type="dxa"/>
          </w:tcPr>
          <w:p w:rsidR="006F62F4" w:rsidRPr="007B387C" w:rsidRDefault="006F62F4" w:rsidP="00961B2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>1.28 (0.91</w:t>
            </w:r>
            <w:r w:rsidRPr="007B387C">
              <w:rPr>
                <w:rFonts w:ascii="Calibri" w:hAnsi="Calibri"/>
              </w:rPr>
              <w:t>–</w:t>
            </w: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>1.79)</w:t>
            </w:r>
          </w:p>
        </w:tc>
        <w:tc>
          <w:tcPr>
            <w:tcW w:w="1885" w:type="dxa"/>
          </w:tcPr>
          <w:p w:rsidR="006F62F4" w:rsidRPr="007B387C" w:rsidRDefault="006F62F4" w:rsidP="00961B2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>1.66 (1.15</w:t>
            </w:r>
            <w:r w:rsidRPr="007B387C">
              <w:rPr>
                <w:rFonts w:ascii="Calibri" w:hAnsi="Calibri"/>
              </w:rPr>
              <w:t>–</w:t>
            </w: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>2.41)</w:t>
            </w:r>
          </w:p>
        </w:tc>
        <w:tc>
          <w:tcPr>
            <w:tcW w:w="666" w:type="dxa"/>
          </w:tcPr>
          <w:p w:rsidR="006F62F4" w:rsidRPr="007B387C" w:rsidRDefault="006F62F4" w:rsidP="00961B2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>0.30</w:t>
            </w:r>
          </w:p>
        </w:tc>
        <w:tc>
          <w:tcPr>
            <w:tcW w:w="1985" w:type="dxa"/>
          </w:tcPr>
          <w:p w:rsidR="006F62F4" w:rsidRPr="007B387C" w:rsidRDefault="006F62F4" w:rsidP="00961B2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 xml:space="preserve">1.44 (1.12 </w:t>
            </w:r>
            <w:r w:rsidRPr="007B387C">
              <w:rPr>
                <w:rFonts w:ascii="Calibri" w:hAnsi="Calibri"/>
              </w:rPr>
              <w:t>–</w:t>
            </w: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 xml:space="preserve"> 1.85)</w:t>
            </w:r>
          </w:p>
        </w:tc>
      </w:tr>
      <w:tr w:rsidR="006F62F4" w:rsidRPr="007B387C" w:rsidTr="00961B29">
        <w:tc>
          <w:tcPr>
            <w:tcW w:w="2298" w:type="dxa"/>
          </w:tcPr>
          <w:p w:rsidR="006F62F4" w:rsidRPr="007B387C" w:rsidRDefault="006F62F4" w:rsidP="00961B2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B387C">
              <w:rPr>
                <w:rFonts w:ascii="Calibri" w:hAnsi="Calibri"/>
                <w:sz w:val="22"/>
                <w:szCs w:val="22"/>
              </w:rPr>
              <w:t>Weak pulse</w:t>
            </w:r>
          </w:p>
        </w:tc>
        <w:tc>
          <w:tcPr>
            <w:tcW w:w="1701" w:type="dxa"/>
          </w:tcPr>
          <w:p w:rsidR="006F62F4" w:rsidRPr="007B387C" w:rsidRDefault="006F62F4" w:rsidP="00961B2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>1.20 (0.86</w:t>
            </w:r>
            <w:r w:rsidRPr="007B387C">
              <w:rPr>
                <w:rFonts w:ascii="Calibri" w:hAnsi="Calibri"/>
              </w:rPr>
              <w:t>–</w:t>
            </w: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>1.65)</w:t>
            </w:r>
          </w:p>
        </w:tc>
        <w:tc>
          <w:tcPr>
            <w:tcW w:w="1885" w:type="dxa"/>
          </w:tcPr>
          <w:p w:rsidR="006F62F4" w:rsidRPr="007B387C" w:rsidRDefault="006F62F4" w:rsidP="00961B2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>1.65 (1.15</w:t>
            </w:r>
            <w:r w:rsidRPr="007B387C">
              <w:rPr>
                <w:rFonts w:ascii="Calibri" w:hAnsi="Calibri"/>
              </w:rPr>
              <w:t>–</w:t>
            </w: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>2.38)</w:t>
            </w:r>
          </w:p>
        </w:tc>
        <w:tc>
          <w:tcPr>
            <w:tcW w:w="666" w:type="dxa"/>
          </w:tcPr>
          <w:p w:rsidR="006F62F4" w:rsidRPr="007B387C" w:rsidRDefault="006F62F4" w:rsidP="00961B2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>0.19</w:t>
            </w:r>
          </w:p>
        </w:tc>
        <w:tc>
          <w:tcPr>
            <w:tcW w:w="1985" w:type="dxa"/>
          </w:tcPr>
          <w:p w:rsidR="006F62F4" w:rsidRPr="007B387C" w:rsidRDefault="006F62F4" w:rsidP="00961B2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 xml:space="preserve">1.41 (1.10 </w:t>
            </w:r>
            <w:r w:rsidRPr="007B387C">
              <w:rPr>
                <w:rFonts w:ascii="Calibri" w:hAnsi="Calibri"/>
              </w:rPr>
              <w:t>–</w:t>
            </w: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 xml:space="preserve"> 1.80)</w:t>
            </w:r>
          </w:p>
        </w:tc>
      </w:tr>
      <w:tr w:rsidR="006F62F4" w:rsidRPr="007B387C" w:rsidTr="00961B29">
        <w:tc>
          <w:tcPr>
            <w:tcW w:w="2298" w:type="dxa"/>
          </w:tcPr>
          <w:p w:rsidR="006F62F4" w:rsidRPr="007B387C" w:rsidRDefault="006F62F4" w:rsidP="00961B2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B387C">
              <w:rPr>
                <w:rFonts w:ascii="Calibri" w:hAnsi="Calibri"/>
                <w:sz w:val="22"/>
                <w:szCs w:val="22"/>
              </w:rPr>
              <w:t>CRT &gt; 2s</w:t>
            </w:r>
          </w:p>
        </w:tc>
        <w:tc>
          <w:tcPr>
            <w:tcW w:w="1701" w:type="dxa"/>
          </w:tcPr>
          <w:p w:rsidR="006F62F4" w:rsidRPr="007B387C" w:rsidRDefault="006F62F4" w:rsidP="00961B2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>1.34 (0.95</w:t>
            </w:r>
            <w:r w:rsidRPr="007B387C">
              <w:rPr>
                <w:rFonts w:ascii="Calibri" w:hAnsi="Calibri"/>
              </w:rPr>
              <w:t>–</w:t>
            </w: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>1.91)</w:t>
            </w:r>
          </w:p>
        </w:tc>
        <w:tc>
          <w:tcPr>
            <w:tcW w:w="1885" w:type="dxa"/>
          </w:tcPr>
          <w:p w:rsidR="006F62F4" w:rsidRPr="007B387C" w:rsidRDefault="006F62F4" w:rsidP="00961B2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>1.47 (1.04</w:t>
            </w:r>
            <w:r w:rsidRPr="007B387C">
              <w:rPr>
                <w:rFonts w:ascii="Calibri" w:hAnsi="Calibri"/>
              </w:rPr>
              <w:t>–</w:t>
            </w: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>2.09)</w:t>
            </w:r>
          </w:p>
        </w:tc>
        <w:tc>
          <w:tcPr>
            <w:tcW w:w="666" w:type="dxa"/>
          </w:tcPr>
          <w:p w:rsidR="006F62F4" w:rsidRPr="007B387C" w:rsidRDefault="006F62F4" w:rsidP="00961B2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>0.72</w:t>
            </w:r>
          </w:p>
        </w:tc>
        <w:tc>
          <w:tcPr>
            <w:tcW w:w="1985" w:type="dxa"/>
          </w:tcPr>
          <w:p w:rsidR="006F62F4" w:rsidRPr="007B387C" w:rsidRDefault="006F62F4" w:rsidP="00961B2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 xml:space="preserve">1.41 (1.10 </w:t>
            </w:r>
            <w:r w:rsidRPr="007B387C">
              <w:rPr>
                <w:rFonts w:ascii="Calibri" w:hAnsi="Calibri"/>
              </w:rPr>
              <w:t xml:space="preserve">– </w:t>
            </w: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>1.81)</w:t>
            </w:r>
          </w:p>
        </w:tc>
      </w:tr>
      <w:tr w:rsidR="006F62F4" w:rsidRPr="007B387C" w:rsidTr="00961B29">
        <w:trPr>
          <w:trHeight w:val="241"/>
        </w:trPr>
        <w:tc>
          <w:tcPr>
            <w:tcW w:w="2298" w:type="dxa"/>
          </w:tcPr>
          <w:p w:rsidR="006F62F4" w:rsidRPr="007B387C" w:rsidRDefault="006F62F4" w:rsidP="00961B2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B387C">
              <w:rPr>
                <w:rFonts w:ascii="Calibri" w:hAnsi="Calibri"/>
                <w:sz w:val="22"/>
                <w:szCs w:val="22"/>
              </w:rPr>
              <w:t>Temperature Gradient</w:t>
            </w:r>
          </w:p>
        </w:tc>
        <w:tc>
          <w:tcPr>
            <w:tcW w:w="1701" w:type="dxa"/>
          </w:tcPr>
          <w:p w:rsidR="006F62F4" w:rsidRPr="007B387C" w:rsidRDefault="006F62F4" w:rsidP="00961B2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>1.42 (1.07</w:t>
            </w:r>
            <w:r w:rsidRPr="007B387C">
              <w:rPr>
                <w:rFonts w:ascii="Calibri" w:hAnsi="Calibri"/>
              </w:rPr>
              <w:t>–</w:t>
            </w: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>1.89)</w:t>
            </w:r>
          </w:p>
        </w:tc>
        <w:tc>
          <w:tcPr>
            <w:tcW w:w="1885" w:type="dxa"/>
          </w:tcPr>
          <w:p w:rsidR="006F62F4" w:rsidRPr="007B387C" w:rsidRDefault="006F62F4" w:rsidP="00961B29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 xml:space="preserve">1.48 (0.88 </w:t>
            </w:r>
            <w:r w:rsidRPr="007B387C">
              <w:rPr>
                <w:rFonts w:ascii="Calibri" w:hAnsi="Calibri"/>
              </w:rPr>
              <w:t xml:space="preserve">– </w:t>
            </w: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>2.50)</w:t>
            </w:r>
          </w:p>
        </w:tc>
        <w:tc>
          <w:tcPr>
            <w:tcW w:w="666" w:type="dxa"/>
          </w:tcPr>
          <w:p w:rsidR="006F62F4" w:rsidRPr="007B387C" w:rsidRDefault="006F62F4" w:rsidP="00961B2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>0.90</w:t>
            </w:r>
          </w:p>
        </w:tc>
        <w:tc>
          <w:tcPr>
            <w:tcW w:w="1985" w:type="dxa"/>
          </w:tcPr>
          <w:p w:rsidR="006F62F4" w:rsidRPr="007B387C" w:rsidRDefault="006F62F4" w:rsidP="00961B2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 xml:space="preserve">1.44 (1.12 </w:t>
            </w:r>
            <w:r w:rsidRPr="007B387C">
              <w:rPr>
                <w:rFonts w:ascii="Calibri" w:hAnsi="Calibri"/>
              </w:rPr>
              <w:t xml:space="preserve">– </w:t>
            </w:r>
            <w:r w:rsidRPr="007B387C">
              <w:rPr>
                <w:rFonts w:ascii="Calibri" w:eastAsia="Arial" w:hAnsi="Calibri" w:cs="Arial"/>
                <w:color w:val="000000" w:themeColor="text1"/>
                <w:kern w:val="24"/>
                <w:sz w:val="22"/>
                <w:szCs w:val="22"/>
              </w:rPr>
              <w:t>1.84)</w:t>
            </w:r>
          </w:p>
        </w:tc>
      </w:tr>
    </w:tbl>
    <w:p w:rsidR="006F62F4" w:rsidRPr="007B387C" w:rsidRDefault="006F62F4" w:rsidP="006F62F4">
      <w:pPr>
        <w:pStyle w:val="ListParagraph"/>
        <w:numPr>
          <w:ilvl w:val="0"/>
          <w:numId w:val="1"/>
        </w:numPr>
        <w:rPr>
          <w:rFonts w:ascii="Calibri" w:hAnsi="Calibri"/>
          <w:sz w:val="20"/>
          <w:szCs w:val="20"/>
        </w:rPr>
      </w:pPr>
      <w:bookmarkStart w:id="0" w:name="_GoBack"/>
      <w:bookmarkEnd w:id="0"/>
      <w:r w:rsidRPr="007B387C">
        <w:rPr>
          <w:rFonts w:ascii="Calibri" w:hAnsi="Calibri"/>
          <w:sz w:val="20"/>
          <w:szCs w:val="20"/>
        </w:rPr>
        <w:t xml:space="preserve">P-value for heterogeneity  of risk ratio (in the presence </w:t>
      </w:r>
      <w:proofErr w:type="spellStart"/>
      <w:r w:rsidRPr="007B387C">
        <w:rPr>
          <w:rFonts w:ascii="Calibri" w:hAnsi="Calibri"/>
          <w:sz w:val="20"/>
          <w:szCs w:val="20"/>
        </w:rPr>
        <w:t>vs</w:t>
      </w:r>
      <w:proofErr w:type="spellEnd"/>
      <w:r w:rsidRPr="007B387C">
        <w:rPr>
          <w:rFonts w:ascii="Calibri" w:hAnsi="Calibri"/>
          <w:sz w:val="20"/>
          <w:szCs w:val="20"/>
        </w:rPr>
        <w:t xml:space="preserve"> absence of sign)</w:t>
      </w:r>
    </w:p>
    <w:p w:rsidR="006F62F4" w:rsidRPr="007B387C" w:rsidRDefault="006F62F4" w:rsidP="006F62F4">
      <w:pPr>
        <w:pStyle w:val="ListParagraph"/>
        <w:numPr>
          <w:ilvl w:val="0"/>
          <w:numId w:val="1"/>
        </w:numPr>
        <w:rPr>
          <w:rFonts w:ascii="Calibri" w:hAnsi="Calibri"/>
          <w:sz w:val="20"/>
          <w:szCs w:val="20"/>
        </w:rPr>
      </w:pPr>
      <w:r w:rsidRPr="007B387C">
        <w:rPr>
          <w:rFonts w:ascii="Calibri" w:hAnsi="Calibri"/>
          <w:sz w:val="20"/>
          <w:szCs w:val="20"/>
        </w:rPr>
        <w:t xml:space="preserve">Overall risk ratio for bolus </w:t>
      </w:r>
      <w:proofErr w:type="spellStart"/>
      <w:r w:rsidRPr="007B387C">
        <w:rPr>
          <w:rFonts w:ascii="Calibri" w:hAnsi="Calibri"/>
          <w:sz w:val="20"/>
          <w:szCs w:val="20"/>
        </w:rPr>
        <w:t>vs</w:t>
      </w:r>
      <w:proofErr w:type="spellEnd"/>
      <w:r w:rsidRPr="007B387C">
        <w:rPr>
          <w:rFonts w:ascii="Calibri" w:hAnsi="Calibri"/>
          <w:sz w:val="20"/>
          <w:szCs w:val="20"/>
        </w:rPr>
        <w:t xml:space="preserve"> no bolus (assuming no heterogeneity)</w:t>
      </w:r>
    </w:p>
    <w:p w:rsidR="006F62F4" w:rsidRPr="007B387C" w:rsidRDefault="006F62F4" w:rsidP="006F62F4">
      <w:pPr>
        <w:jc w:val="both"/>
        <w:rPr>
          <w:rFonts w:ascii="Calibri" w:hAnsi="Calibri"/>
          <w:b/>
        </w:rPr>
      </w:pPr>
    </w:p>
    <w:p w:rsidR="00EE7E5A" w:rsidRDefault="00EE7E5A"/>
    <w:sectPr w:rsidR="00EE7E5A" w:rsidSect="00EE7E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71E5B"/>
    <w:multiLevelType w:val="hybridMultilevel"/>
    <w:tmpl w:val="E2F4565E"/>
    <w:lvl w:ilvl="0" w:tplc="A51A802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docVars>
    <w:docVar w:name="Total_Editing_Time" w:val="1"/>
  </w:docVars>
  <w:rsids>
    <w:rsidRoot w:val="006F62F4"/>
    <w:rsid w:val="000A27BA"/>
    <w:rsid w:val="001162FD"/>
    <w:rsid w:val="00172359"/>
    <w:rsid w:val="002F2E9F"/>
    <w:rsid w:val="0042516F"/>
    <w:rsid w:val="00592242"/>
    <w:rsid w:val="006F62F4"/>
    <w:rsid w:val="006F6A63"/>
    <w:rsid w:val="00876D42"/>
    <w:rsid w:val="008C6516"/>
    <w:rsid w:val="009E4A23"/>
    <w:rsid w:val="00AC33E8"/>
    <w:rsid w:val="00B66969"/>
    <w:rsid w:val="00B73F64"/>
    <w:rsid w:val="00BA702B"/>
    <w:rsid w:val="00D12CB7"/>
    <w:rsid w:val="00E63F48"/>
    <w:rsid w:val="00EE7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1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16F"/>
    <w:pPr>
      <w:ind w:left="720"/>
      <w:contextualSpacing/>
    </w:pPr>
  </w:style>
  <w:style w:type="table" w:styleId="TableGrid">
    <w:name w:val="Table Grid"/>
    <w:basedOn w:val="TableNormal"/>
    <w:uiPriority w:val="59"/>
    <w:rsid w:val="006F62F4"/>
    <w:rPr>
      <w:rFonts w:asciiTheme="minorHAnsi" w:eastAsiaTheme="minorEastAsia" w:hAnsiTheme="minorHAnsi" w:cstheme="minorBid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597</Characters>
  <Application>Microsoft Office Word</Application>
  <DocSecurity>0</DocSecurity>
  <Lines>37</Lines>
  <Paragraphs>30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2</cp:revision>
  <dcterms:created xsi:type="dcterms:W3CDTF">2018-02-01T04:58:00Z</dcterms:created>
  <dcterms:modified xsi:type="dcterms:W3CDTF">2018-02-01T05:01:00Z</dcterms:modified>
</cp:coreProperties>
</file>