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758"/>
        <w:gridCol w:w="1927"/>
        <w:gridCol w:w="1570"/>
        <w:gridCol w:w="2773"/>
      </w:tblGrid>
      <w:tr w:rsidR="00D63CC7" w:rsidRPr="00E23D8C" w:rsidTr="006B527B">
        <w:tc>
          <w:tcPr>
            <w:tcW w:w="988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b/>
                <w:sz w:val="20"/>
                <w:szCs w:val="20"/>
              </w:rPr>
              <w:t>Study details</w:t>
            </w:r>
          </w:p>
        </w:tc>
        <w:tc>
          <w:tcPr>
            <w:tcW w:w="1758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b/>
                <w:sz w:val="20"/>
                <w:szCs w:val="20"/>
              </w:rPr>
              <w:t>Patients</w:t>
            </w:r>
          </w:p>
        </w:tc>
        <w:tc>
          <w:tcPr>
            <w:tcW w:w="1927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b/>
                <w:sz w:val="20"/>
                <w:szCs w:val="20"/>
              </w:rPr>
              <w:t>Measurement</w:t>
            </w:r>
          </w:p>
        </w:tc>
        <w:tc>
          <w:tcPr>
            <w:tcW w:w="1570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b/>
                <w:sz w:val="20"/>
                <w:szCs w:val="20"/>
              </w:rPr>
              <w:t>Control group</w:t>
            </w:r>
          </w:p>
        </w:tc>
        <w:tc>
          <w:tcPr>
            <w:tcW w:w="2773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b/>
                <w:sz w:val="20"/>
                <w:szCs w:val="20"/>
              </w:rPr>
              <w:t>Key findings</w:t>
            </w:r>
          </w:p>
        </w:tc>
      </w:tr>
      <w:tr w:rsidR="00D63CC7" w:rsidRPr="00E23D8C" w:rsidTr="006B527B">
        <w:tc>
          <w:tcPr>
            <w:tcW w:w="988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Zhao et al, 2017 [18</w:t>
            </w:r>
            <w:r w:rsidRPr="00E23D8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758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Patients in ED with SIRS, sepsis, severe sepsis or septic shock (n=595)</w:t>
            </w:r>
          </w:p>
        </w:tc>
        <w:tc>
          <w:tcPr>
            <w:tcW w:w="1927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sPD-1 measured at time of arrival in ED</w:t>
            </w:r>
          </w:p>
        </w:tc>
        <w:tc>
          <w:tcPr>
            <w:tcW w:w="1570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Healthy controls (n=60)</w:t>
            </w:r>
          </w:p>
        </w:tc>
        <w:tc>
          <w:tcPr>
            <w:tcW w:w="2773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sPD-1 higher in sepsis, severe sepsis and septic shock compared with controls</w:t>
            </w:r>
          </w:p>
        </w:tc>
      </w:tr>
      <w:tr w:rsidR="00D63CC7" w:rsidRPr="00E23D8C" w:rsidTr="006B527B">
        <w:tc>
          <w:tcPr>
            <w:tcW w:w="988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Liu et al, 2017 [19</w:t>
            </w:r>
            <w:r w:rsidRPr="00E23D8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758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Patients with sepsis admitted to ICU (n=91)</w:t>
            </w:r>
          </w:p>
        </w:tc>
        <w:tc>
          <w:tcPr>
            <w:tcW w:w="1927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sPD-1 and sPD-L1 measured on day 1, day 3-4 and day 7-8 of ICU admission</w:t>
            </w:r>
          </w:p>
        </w:tc>
        <w:tc>
          <w:tcPr>
            <w:tcW w:w="1570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Healthy controls (n=29)</w:t>
            </w:r>
          </w:p>
        </w:tc>
        <w:tc>
          <w:tcPr>
            <w:tcW w:w="2773" w:type="dxa"/>
          </w:tcPr>
          <w:p w:rsidR="00D63CC7" w:rsidRPr="00E23D8C" w:rsidRDefault="00D63CC7" w:rsidP="006B52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sPD-1 and sPD-L1 higher in sepsis compared to controls; sPD-L1 higher in non-survivors compared with survivors</w:t>
            </w:r>
          </w:p>
        </w:tc>
      </w:tr>
      <w:tr w:rsidR="00D63CC7" w:rsidRPr="00E23D8C" w:rsidTr="006B527B">
        <w:tc>
          <w:tcPr>
            <w:tcW w:w="988" w:type="dxa"/>
          </w:tcPr>
          <w:p w:rsidR="00D63CC7" w:rsidRPr="00E23D8C" w:rsidRDefault="00D63CC7" w:rsidP="006B52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Lange et al, 2017 [20</w:t>
            </w:r>
            <w:r w:rsidRPr="00E23D8C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758" w:type="dxa"/>
          </w:tcPr>
          <w:p w:rsidR="00D63CC7" w:rsidRPr="00E23D8C" w:rsidRDefault="00D63CC7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Patients with sepsis admitted to ICU (n=101)</w:t>
            </w:r>
          </w:p>
        </w:tc>
        <w:tc>
          <w:tcPr>
            <w:tcW w:w="1927" w:type="dxa"/>
          </w:tcPr>
          <w:p w:rsidR="00D63CC7" w:rsidRPr="00E23D8C" w:rsidRDefault="00D63CC7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sPD-1 measured within 24 hrs of admission to ICU</w:t>
            </w:r>
          </w:p>
        </w:tc>
        <w:tc>
          <w:tcPr>
            <w:tcW w:w="1570" w:type="dxa"/>
          </w:tcPr>
          <w:p w:rsidR="00D63CC7" w:rsidRPr="00E23D8C" w:rsidRDefault="00D63CC7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Healthy controls</w:t>
            </w:r>
            <w:r>
              <w:rPr>
                <w:rFonts w:ascii="Arial" w:hAnsi="Arial" w:cs="Arial"/>
                <w:sz w:val="20"/>
                <w:szCs w:val="20"/>
              </w:rPr>
              <w:t xml:space="preserve"> (n=31)</w:t>
            </w:r>
            <w:r w:rsidRPr="00E23D8C">
              <w:rPr>
                <w:rFonts w:ascii="Arial" w:hAnsi="Arial" w:cs="Arial"/>
                <w:sz w:val="20"/>
                <w:szCs w:val="20"/>
              </w:rPr>
              <w:t>; non-infected ICU patients</w:t>
            </w:r>
            <w:r>
              <w:rPr>
                <w:rFonts w:ascii="Arial" w:hAnsi="Arial" w:cs="Arial"/>
                <w:sz w:val="20"/>
                <w:szCs w:val="20"/>
              </w:rPr>
              <w:t xml:space="preserve"> (n=28)</w:t>
            </w:r>
          </w:p>
        </w:tc>
        <w:tc>
          <w:tcPr>
            <w:tcW w:w="2773" w:type="dxa"/>
          </w:tcPr>
          <w:p w:rsidR="00D63CC7" w:rsidRPr="00E23D8C" w:rsidRDefault="00D63CC7" w:rsidP="006B527B">
            <w:pPr>
              <w:rPr>
                <w:rFonts w:ascii="Arial" w:hAnsi="Arial" w:cs="Arial"/>
                <w:sz w:val="20"/>
                <w:szCs w:val="20"/>
              </w:rPr>
            </w:pPr>
            <w:r w:rsidRPr="00E23D8C">
              <w:rPr>
                <w:rFonts w:ascii="Arial" w:hAnsi="Arial" w:cs="Arial"/>
                <w:sz w:val="20"/>
                <w:szCs w:val="20"/>
              </w:rPr>
              <w:t>sPD-1 lower in sepsis cohort compared to healthy controls; no significant difference compared to non-infected ICU patients</w:t>
            </w:r>
          </w:p>
        </w:tc>
      </w:tr>
    </w:tbl>
    <w:p w:rsidR="00D63CC7" w:rsidRPr="00E96A1B" w:rsidRDefault="00D63CC7" w:rsidP="00D63CC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Table </w:t>
      </w:r>
      <w:r w:rsidR="00605589">
        <w:rPr>
          <w:rFonts w:ascii="Arial" w:hAnsi="Arial" w:cs="Arial"/>
          <w:b/>
          <w:sz w:val="20"/>
          <w:szCs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6</w:t>
      </w:r>
      <w:r w:rsidRPr="00790064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790064">
        <w:rPr>
          <w:rFonts w:ascii="Arial" w:hAnsi="Arial" w:cs="Arial"/>
          <w:b/>
          <w:sz w:val="20"/>
          <w:szCs w:val="20"/>
        </w:rPr>
        <w:t>sPD-1/sPD-L1 studies</w:t>
      </w:r>
      <w:r>
        <w:rPr>
          <w:rFonts w:ascii="Arial" w:hAnsi="Arial" w:cs="Arial"/>
          <w:b/>
          <w:sz w:val="20"/>
          <w:szCs w:val="20"/>
        </w:rPr>
        <w:t xml:space="preserve"> in sepsis</w:t>
      </w:r>
      <w:r w:rsidRPr="00790064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Summary of previous studies measuring soluble serum PD-1 and PD-L1 (sPD-1; sPD-L1) levels in sepsis</w:t>
      </w:r>
    </w:p>
    <w:p w:rsidR="00D63CC7" w:rsidRDefault="00D63CC7"/>
    <w:sectPr w:rsidR="00D63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63CC7"/>
    <w:rsid w:val="001A7356"/>
    <w:rsid w:val="004E0CB5"/>
    <w:rsid w:val="00605589"/>
    <w:rsid w:val="00D6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855</Characters>
  <Application>Microsoft Office Word</Application>
  <DocSecurity>0</DocSecurity>
  <Lines>65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Wilson</dc:creator>
  <cp:keywords/>
  <dc:description/>
  <cp:lastModifiedBy>JADIQUE</cp:lastModifiedBy>
  <cp:revision>2</cp:revision>
  <dcterms:created xsi:type="dcterms:W3CDTF">2018-03-21T20:32:00Z</dcterms:created>
  <dcterms:modified xsi:type="dcterms:W3CDTF">2018-03-29T03:47:00Z</dcterms:modified>
</cp:coreProperties>
</file>