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450" w:tblpY="16"/>
        <w:tblW w:w="0" w:type="auto"/>
        <w:tblLook w:val="04A0" w:firstRow="1" w:lastRow="0" w:firstColumn="1" w:lastColumn="0" w:noHBand="0" w:noVBand="1"/>
      </w:tblPr>
      <w:tblGrid>
        <w:gridCol w:w="4531"/>
        <w:gridCol w:w="1494"/>
        <w:gridCol w:w="1505"/>
        <w:gridCol w:w="1486"/>
      </w:tblGrid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All (n=22)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Survivor (n=11)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Non-survivors (n=11)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Gender, number of males (percentage)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16 (73%)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10 (91%)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6 (55%)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(years), median (IQR</w:t>
            </w:r>
            <w:r w:rsidRPr="00E96A1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68.5</w:t>
            </w:r>
            <w:r w:rsidRPr="00E96A1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54.8 – 84.3)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(48 – 71)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(64 – 85)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7B3FD9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Co-morbidities, number (percentage)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Hypertension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Ischaemic heart disease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Atrial fibrillation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Cerebrovascular disease</w:t>
            </w:r>
          </w:p>
          <w:p w:rsidR="00510E8F" w:rsidRPr="007B3FD9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2 diabetes mellitus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Chronic kidney disease</w:t>
            </w:r>
          </w:p>
          <w:p w:rsidR="00510E8F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Chronic obstructive pulmonary disease</w:t>
            </w:r>
          </w:p>
          <w:p w:rsidR="00510E8F" w:rsidRPr="007B3FD9" w:rsidRDefault="00510E8F" w:rsidP="006B52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494" w:type="dxa"/>
          </w:tcPr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(63.6%)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(54.5%)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(36.4%)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</w:tc>
        <w:tc>
          <w:tcPr>
            <w:tcW w:w="1505" w:type="dxa"/>
          </w:tcPr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(9.1%)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(9.1%)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</w:tc>
        <w:tc>
          <w:tcPr>
            <w:tcW w:w="1486" w:type="dxa"/>
          </w:tcPr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(45.5%)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(27.3%)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(9.1%)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(18.2%)</w:t>
            </w:r>
          </w:p>
          <w:p w:rsidR="00510E8F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(9.1%)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Source of sepsis, number (percentage)</w:t>
            </w:r>
          </w:p>
          <w:p w:rsidR="00510E8F" w:rsidRPr="00E96A1B" w:rsidRDefault="00510E8F" w:rsidP="006B52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Respiratory</w:t>
            </w:r>
          </w:p>
          <w:p w:rsidR="00510E8F" w:rsidRPr="00E96A1B" w:rsidRDefault="00510E8F" w:rsidP="006B52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Intra-abdominal</w:t>
            </w:r>
          </w:p>
          <w:p w:rsidR="00510E8F" w:rsidRPr="00E96A1B" w:rsidRDefault="00510E8F" w:rsidP="006B52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Wound/soft tissue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16 (73%)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4 (18%)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2 (9%)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10 (91%)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 (9%)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6 (55%)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3 (27%)</w:t>
            </w:r>
          </w:p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2 (18%)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SOFA score on admission, median (IQR)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7 (5.0 – 8.3)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7 (5.0 – 9.0)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7 (6.0 – 8.0)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APACHE II score on admission, mean (SD)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20.7 (5.8)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17.8 (3.7)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23.6 (6.1)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White cell count on admission, mean (SD)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15.9 (7.8)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15.5 (6.4)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16.3 (9.3)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Lymphocyte count on admission, mean (SD)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1.1 (0.7)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1.2 (0.8)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1.0 (0.6)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Neutrophil/lymphocyte ratio, mean (SD)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 (17.9)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 (8.2)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23.3 (23.7)</w:t>
            </w:r>
          </w:p>
        </w:tc>
      </w:tr>
      <w:tr w:rsidR="00510E8F" w:rsidRPr="00E96A1B" w:rsidTr="006B527B">
        <w:tc>
          <w:tcPr>
            <w:tcW w:w="4531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ICU length of stay (days), median (IQR)</w:t>
            </w:r>
          </w:p>
        </w:tc>
        <w:tc>
          <w:tcPr>
            <w:tcW w:w="1494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10.5 (7.0 – 20.3)</w:t>
            </w:r>
          </w:p>
        </w:tc>
        <w:tc>
          <w:tcPr>
            <w:tcW w:w="1505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7.0 (3.0 – 11.0)</w:t>
            </w:r>
          </w:p>
        </w:tc>
        <w:tc>
          <w:tcPr>
            <w:tcW w:w="1486" w:type="dxa"/>
          </w:tcPr>
          <w:p w:rsidR="00510E8F" w:rsidRPr="00E96A1B" w:rsidRDefault="00510E8F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96A1B">
              <w:rPr>
                <w:rFonts w:ascii="Arial" w:hAnsi="Arial" w:cs="Arial"/>
                <w:sz w:val="20"/>
                <w:szCs w:val="20"/>
              </w:rPr>
              <w:t>14.0 (10.0 – 22.0)</w:t>
            </w:r>
          </w:p>
        </w:tc>
      </w:tr>
    </w:tbl>
    <w:p w:rsidR="00510E8F" w:rsidRDefault="00510E8F" w:rsidP="00510E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Table </w:t>
      </w:r>
      <w:r w:rsidR="00795A11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B11BD">
        <w:rPr>
          <w:rFonts w:ascii="Arial" w:hAnsi="Arial" w:cs="Arial"/>
          <w:b/>
          <w:sz w:val="20"/>
          <w:szCs w:val="20"/>
        </w:rPr>
        <w:t>Sepsis patient characteristics.</w:t>
      </w:r>
      <w:r w:rsidRPr="00E96A1B">
        <w:rPr>
          <w:rFonts w:ascii="Arial" w:hAnsi="Arial" w:cs="Arial"/>
          <w:sz w:val="20"/>
          <w:szCs w:val="20"/>
        </w:rPr>
        <w:t xml:space="preserve"> Table showing characteristics of sepsis patients included in the study. Figures are shown for all patients, and for survivors and non-survivors.</w:t>
      </w:r>
    </w:p>
    <w:p w:rsidR="00510E8F" w:rsidRDefault="00510E8F"/>
    <w:sectPr w:rsidR="00510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BA"/>
    <w:multiLevelType w:val="hybridMultilevel"/>
    <w:tmpl w:val="874CFA40"/>
    <w:lvl w:ilvl="0" w:tplc="DCE864D4">
      <w:start w:val="8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551DA"/>
    <w:multiLevelType w:val="hybridMultilevel"/>
    <w:tmpl w:val="7352A1A2"/>
    <w:lvl w:ilvl="0" w:tplc="6DDACE22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10E8F"/>
    <w:rsid w:val="001A7356"/>
    <w:rsid w:val="004E0CB5"/>
    <w:rsid w:val="00510E8F"/>
    <w:rsid w:val="0079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1196</Characters>
  <Application>Microsoft Office Word</Application>
  <DocSecurity>0</DocSecurity>
  <Lines>99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2018-03-21T20:23:00Z</dcterms:created>
  <dcterms:modified xsi:type="dcterms:W3CDTF">2018-03-29T03:47:00Z</dcterms:modified>
</cp:coreProperties>
</file>