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47E" w:rsidRDefault="000B147E" w:rsidP="000B147E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Additional file 3    Serum creatinine and cystatin C in patients with good or poor neurological outcome</w:t>
      </w:r>
    </w:p>
    <w:p w:rsidR="000B147E" w:rsidRDefault="000B147E" w:rsidP="000B147E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All patients:  (a) Serum creatinine [mg/dl] and (b) serum cystatin C [mg/l] levels (mean and standard deviation) at day 0-4 and ICU discharge in patients 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en-GB"/>
        </w:rPr>
        <w:t>with good or poor neurological outcome  *  p&lt;0.05;  ** p&lt; 0.01.</w:t>
      </w:r>
    </w:p>
    <w:p w:rsidR="00965423" w:rsidRPr="000B147E" w:rsidRDefault="00965423">
      <w:pPr>
        <w:rPr>
          <w:lang w:val="en-GB"/>
        </w:rPr>
      </w:pPr>
    </w:p>
    <w:p w:rsidR="00F74BA2" w:rsidRDefault="000B147E">
      <w:r>
        <w:object w:dxaOrig="10373" w:dyaOrig="5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258.75pt" o:ole="" filled="t">
            <v:imagedata r:id="rId4" o:title=""/>
          </v:shape>
          <o:OLEObject Type="Embed" ProgID="Prism5.Document" ShapeID="_x0000_i1025" DrawAspect="Content" ObjectID="_1582973044" r:id="rId5"/>
        </w:object>
      </w:r>
    </w:p>
    <w:p w:rsidR="00F74BA2" w:rsidRDefault="00F74BA2"/>
    <w:sectPr w:rsidR="00F74B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BA2"/>
    <w:rsid w:val="000B147E"/>
    <w:rsid w:val="006C3AAC"/>
    <w:rsid w:val="00965423"/>
    <w:rsid w:val="00F7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30A388"/>
  <w15:docId w15:val="{F924C405-296E-4C0D-B836-57E91D5D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11AEE414</Template>
  <TotalTime>0</TotalTime>
  <Pages>1</Pages>
  <Words>48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Tilak GmbH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JOANNIDIS Michael,Univ.-Prof. Dr.</dc:creator>
  <cp:lastModifiedBy>HAßLACHER Julia,Dr. PhD</cp:lastModifiedBy>
  <cp:revision>3</cp:revision>
  <dcterms:created xsi:type="dcterms:W3CDTF">2018-03-19T12:11:00Z</dcterms:created>
  <dcterms:modified xsi:type="dcterms:W3CDTF">2018-03-19T12:57:00Z</dcterms:modified>
</cp:coreProperties>
</file>