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DF3" w:rsidRDefault="00E81DF3" w:rsidP="00E81DF3">
      <w:pPr>
        <w:spacing w:line="360" w:lineRule="auto"/>
        <w:jc w:val="left"/>
        <w:rPr>
          <w:rFonts w:ascii="Times New Roman" w:hAnsi="Times New Roman" w:cs="Times New Roman"/>
          <w:sz w:val="22"/>
          <w:szCs w:val="22"/>
        </w:rPr>
      </w:pPr>
      <w:r w:rsidRPr="008D32BC">
        <w:rPr>
          <w:rFonts w:ascii="Times New Roman" w:hAnsi="Times New Roman" w:cs="Times New Roman"/>
          <w:b/>
          <w:sz w:val="22"/>
          <w:szCs w:val="22"/>
        </w:rPr>
        <w:t xml:space="preserve">Additional file </w:t>
      </w:r>
      <w:r w:rsidR="00C3227E">
        <w:rPr>
          <w:rFonts w:ascii="Times New Roman" w:hAnsi="Times New Roman" w:cs="Times New Roman"/>
          <w:b/>
          <w:sz w:val="22"/>
          <w:szCs w:val="22"/>
        </w:rPr>
        <w:t xml:space="preserve">8 </w:t>
      </w:r>
      <w:bookmarkStart w:id="0" w:name="_GoBack"/>
      <w:bookmarkEnd w:id="0"/>
      <w:r>
        <w:rPr>
          <w:rFonts w:ascii="Times New Roman" w:hAnsi="Times New Roman" w:cs="Times New Roman"/>
          <w:b/>
          <w:sz w:val="22"/>
          <w:szCs w:val="22"/>
        </w:rPr>
        <w:t xml:space="preserve"> – Materials and M</w:t>
      </w:r>
      <w:r w:rsidRPr="008D32BC">
        <w:rPr>
          <w:rFonts w:ascii="Times New Roman" w:hAnsi="Times New Roman" w:cs="Times New Roman"/>
          <w:b/>
          <w:sz w:val="22"/>
          <w:szCs w:val="22"/>
        </w:rPr>
        <w:t>ethods</w:t>
      </w:r>
      <w:r w:rsidRPr="00334CB3">
        <w:rPr>
          <w:rFonts w:ascii="Times New Roman" w:hAnsi="Times New Roman" w:cs="Times New Roman"/>
          <w:sz w:val="22"/>
          <w:szCs w:val="22"/>
        </w:rPr>
        <w:t xml:space="preserve">: </w:t>
      </w:r>
    </w:p>
    <w:p w:rsidR="00E81DF3" w:rsidRDefault="00E81DF3" w:rsidP="00E81DF3">
      <w:pPr>
        <w:spacing w:line="360" w:lineRule="auto"/>
        <w:jc w:val="left"/>
        <w:rPr>
          <w:rFonts w:ascii="Times New Roman" w:hAnsi="Times New Roman" w:cs="Times New Roman"/>
          <w:sz w:val="22"/>
          <w:szCs w:val="22"/>
        </w:rPr>
      </w:pPr>
    </w:p>
    <w:p w:rsidR="00E81DF3" w:rsidRDefault="00E81DF3" w:rsidP="00E81DF3">
      <w:pPr>
        <w:spacing w:line="360" w:lineRule="auto"/>
        <w:rPr>
          <w:rFonts w:ascii="Times New Roman" w:hAnsi="Times New Roman" w:cs="Times New Roman"/>
          <w:sz w:val="22"/>
          <w:szCs w:val="22"/>
        </w:rPr>
      </w:pPr>
      <w:r w:rsidRPr="008D32BC">
        <w:rPr>
          <w:rFonts w:ascii="Times New Roman" w:hAnsi="Times New Roman" w:cs="Times New Roman"/>
          <w:sz w:val="22"/>
          <w:szCs w:val="22"/>
        </w:rPr>
        <w:t>Mice: 8~10 week old male C57BL/6 mice were purchased from Jackson Laboratory. TLR4</w:t>
      </w:r>
      <w:r w:rsidRPr="008D32BC">
        <w:rPr>
          <w:rFonts w:ascii="Times New Roman" w:hAnsi="Times New Roman" w:cs="Times New Roman"/>
          <w:sz w:val="22"/>
          <w:szCs w:val="22"/>
          <w:vertAlign w:val="superscript"/>
        </w:rPr>
        <w:t>-/-</w:t>
      </w:r>
      <w:r w:rsidRPr="008D32BC">
        <w:rPr>
          <w:rFonts w:ascii="Times New Roman" w:hAnsi="Times New Roman" w:cs="Times New Roman"/>
          <w:sz w:val="22"/>
          <w:szCs w:val="22"/>
        </w:rPr>
        <w:t>, MyD88</w:t>
      </w:r>
      <w:r w:rsidRPr="008D32BC">
        <w:rPr>
          <w:rFonts w:ascii="Times New Roman" w:hAnsi="Times New Roman" w:cs="Times New Roman"/>
          <w:sz w:val="22"/>
          <w:szCs w:val="22"/>
          <w:vertAlign w:val="superscript"/>
        </w:rPr>
        <w:t>-/-</w:t>
      </w:r>
      <w:r w:rsidRPr="008D32BC">
        <w:rPr>
          <w:rFonts w:ascii="Times New Roman" w:hAnsi="Times New Roman" w:cs="Times New Roman"/>
          <w:sz w:val="22"/>
          <w:szCs w:val="22"/>
        </w:rPr>
        <w:t>, TRIF</w:t>
      </w:r>
      <w:r w:rsidRPr="008D32BC">
        <w:rPr>
          <w:rFonts w:ascii="Times New Roman" w:hAnsi="Times New Roman" w:cs="Times New Roman"/>
          <w:sz w:val="22"/>
          <w:szCs w:val="22"/>
          <w:vertAlign w:val="superscript"/>
        </w:rPr>
        <w:t>-/-</w:t>
      </w:r>
      <w:r w:rsidRPr="008D32BC">
        <w:rPr>
          <w:rFonts w:ascii="Times New Roman" w:hAnsi="Times New Roman" w:cs="Times New Roman"/>
          <w:sz w:val="22"/>
          <w:szCs w:val="22"/>
        </w:rPr>
        <w:t xml:space="preserve"> mice were obtained from Dr. </w:t>
      </w:r>
      <w:proofErr w:type="spellStart"/>
      <w:r w:rsidRPr="008D32BC">
        <w:rPr>
          <w:rFonts w:ascii="Times New Roman" w:hAnsi="Times New Roman" w:cs="Times New Roman"/>
          <w:sz w:val="22"/>
          <w:szCs w:val="22"/>
        </w:rPr>
        <w:t>Billiar’s</w:t>
      </w:r>
      <w:proofErr w:type="spellEnd"/>
      <w:r w:rsidRPr="008D32BC">
        <w:rPr>
          <w:rFonts w:ascii="Times New Roman" w:hAnsi="Times New Roman" w:cs="Times New Roman"/>
          <w:sz w:val="22"/>
          <w:szCs w:val="22"/>
        </w:rPr>
        <w:t xml:space="preserve"> lab. All mice used were on a C57BL/6 background with appropriate backcrossing for respective knockouts. Transgenic male mice were confirmed to be the desired genotype via standard PCR based techniques. Animal protocols were approved by the Animal Care and Use Committee of the University of Pittsburgh and experiments were performed in strict adherence to the National Institutes of Health Guidelines for the Use of Laboratory Animals. Mice were bred and housed in specific pathogen-free conditions with free access to food and water.</w:t>
      </w:r>
    </w:p>
    <w:p w:rsidR="00E81DF3" w:rsidRDefault="00E81DF3" w:rsidP="00E81DF3">
      <w:pPr>
        <w:spacing w:line="360" w:lineRule="auto"/>
        <w:rPr>
          <w:rFonts w:ascii="Times New Roman" w:hAnsi="Times New Roman" w:cs="Times New Roman"/>
          <w:sz w:val="22"/>
          <w:szCs w:val="22"/>
        </w:rPr>
      </w:pPr>
    </w:p>
    <w:p w:rsidR="00E81DF3" w:rsidRPr="008D32BC" w:rsidRDefault="00E81DF3" w:rsidP="00E81DF3">
      <w:pPr>
        <w:spacing w:line="360" w:lineRule="auto"/>
        <w:rPr>
          <w:rFonts w:ascii="Times New Roman" w:hAnsi="Times New Roman" w:cs="Times New Roman"/>
          <w:b/>
          <w:sz w:val="22"/>
          <w:szCs w:val="22"/>
        </w:rPr>
      </w:pPr>
      <w:r w:rsidRPr="008D32BC">
        <w:rPr>
          <w:rFonts w:ascii="Times New Roman" w:hAnsi="Times New Roman" w:cs="Times New Roman"/>
          <w:b/>
          <w:sz w:val="22"/>
          <w:szCs w:val="22"/>
        </w:rPr>
        <w:t>Two-hit model: Mild CLP followed by MTV</w:t>
      </w:r>
      <w:r w:rsidRPr="008D32BC">
        <w:rPr>
          <w:rFonts w:ascii="Times New Roman" w:hAnsi="Times New Roman" w:cs="Times New Roman"/>
          <w:sz w:val="22"/>
          <w:szCs w:val="22"/>
        </w:rPr>
        <w:t xml:space="preserve"> Mice weighing 25~30 g were used. The mice were </w:t>
      </w:r>
      <w:proofErr w:type="spellStart"/>
      <w:r w:rsidRPr="008D32BC">
        <w:rPr>
          <w:rFonts w:ascii="Times New Roman" w:hAnsi="Times New Roman" w:cs="Times New Roman"/>
          <w:sz w:val="22"/>
          <w:szCs w:val="22"/>
        </w:rPr>
        <w:t>anesthesized</w:t>
      </w:r>
      <w:proofErr w:type="spellEnd"/>
      <w:r w:rsidRPr="008D32BC">
        <w:rPr>
          <w:rFonts w:ascii="Times New Roman" w:hAnsi="Times New Roman" w:cs="Times New Roman"/>
          <w:sz w:val="22"/>
          <w:szCs w:val="22"/>
        </w:rPr>
        <w:t xml:space="preserve"> by </w:t>
      </w:r>
      <w:proofErr w:type="spellStart"/>
      <w:r w:rsidRPr="008D32BC">
        <w:rPr>
          <w:rFonts w:ascii="Times New Roman" w:hAnsi="Times New Roman" w:cs="Times New Roman"/>
          <w:sz w:val="22"/>
          <w:szCs w:val="22"/>
        </w:rPr>
        <w:t>i.p</w:t>
      </w:r>
      <w:proofErr w:type="spellEnd"/>
      <w:r w:rsidRPr="008D32BC">
        <w:rPr>
          <w:rFonts w:ascii="Times New Roman" w:hAnsi="Times New Roman" w:cs="Times New Roman"/>
          <w:sz w:val="22"/>
          <w:szCs w:val="22"/>
        </w:rPr>
        <w:t xml:space="preserve">. administration of 100 mg/kg ketamine and 10 mg/kg </w:t>
      </w:r>
      <w:proofErr w:type="spellStart"/>
      <w:r w:rsidRPr="008D32BC">
        <w:rPr>
          <w:rFonts w:ascii="Times New Roman" w:hAnsi="Times New Roman" w:cs="Times New Roman"/>
          <w:sz w:val="22"/>
          <w:szCs w:val="22"/>
        </w:rPr>
        <w:t>xylazine</w:t>
      </w:r>
      <w:proofErr w:type="spellEnd"/>
      <w:r w:rsidRPr="008D32BC">
        <w:rPr>
          <w:rFonts w:ascii="Times New Roman" w:hAnsi="Times New Roman" w:cs="Times New Roman"/>
          <w:sz w:val="22"/>
          <w:szCs w:val="22"/>
        </w:rPr>
        <w:t xml:space="preserve">. Skin was disinfected with 2% iodine tincture. Laparotomy was performed and 50% of the cecum was ligated and punctured twice with a 22-gauge needle. The cecum was then returned to the peritoneal cavity and the abdominal incision was closed with 4-0 sterile synthetic absorbable sutures. Saline (1 ml) was given </w:t>
      </w:r>
      <w:proofErr w:type="spellStart"/>
      <w:proofErr w:type="gramStart"/>
      <w:r w:rsidRPr="008D32BC">
        <w:rPr>
          <w:rFonts w:ascii="Times New Roman" w:hAnsi="Times New Roman" w:cs="Times New Roman"/>
          <w:sz w:val="22"/>
          <w:szCs w:val="22"/>
        </w:rPr>
        <w:t>s.c</w:t>
      </w:r>
      <w:proofErr w:type="gramEnd"/>
      <w:r w:rsidRPr="008D32BC">
        <w:rPr>
          <w:rFonts w:ascii="Times New Roman" w:hAnsi="Times New Roman" w:cs="Times New Roman"/>
          <w:sz w:val="22"/>
          <w:szCs w:val="22"/>
        </w:rPr>
        <w:t>.</w:t>
      </w:r>
      <w:proofErr w:type="spellEnd"/>
      <w:r w:rsidRPr="008D32BC">
        <w:rPr>
          <w:rFonts w:ascii="Times New Roman" w:hAnsi="Times New Roman" w:cs="Times New Roman"/>
          <w:sz w:val="22"/>
          <w:szCs w:val="22"/>
        </w:rPr>
        <w:t xml:space="preserve"> for resuscitation immediately after the operation. For analgesia, buprenorphine (0.1 mg/kg, Butler Schein, Dublin, OH) was injected to mice </w:t>
      </w:r>
      <w:proofErr w:type="spellStart"/>
      <w:proofErr w:type="gramStart"/>
      <w:r w:rsidRPr="008D32BC">
        <w:rPr>
          <w:rFonts w:ascii="Times New Roman" w:hAnsi="Times New Roman" w:cs="Times New Roman"/>
          <w:sz w:val="22"/>
          <w:szCs w:val="22"/>
        </w:rPr>
        <w:t>s.c</w:t>
      </w:r>
      <w:proofErr w:type="gramEnd"/>
      <w:r w:rsidRPr="008D32BC">
        <w:rPr>
          <w:rFonts w:ascii="Times New Roman" w:hAnsi="Times New Roman" w:cs="Times New Roman"/>
          <w:sz w:val="22"/>
          <w:szCs w:val="22"/>
        </w:rPr>
        <w:t>.</w:t>
      </w:r>
      <w:proofErr w:type="spellEnd"/>
      <w:r w:rsidRPr="008D32BC">
        <w:rPr>
          <w:rFonts w:ascii="Times New Roman" w:hAnsi="Times New Roman" w:cs="Times New Roman"/>
          <w:sz w:val="22"/>
          <w:szCs w:val="22"/>
        </w:rPr>
        <w:t xml:space="preserve"> every 12 h staring 2 h after CLP. Mice were given antibiotics (PRIMAXIN, 25 mg/kg; Merck) </w:t>
      </w:r>
      <w:proofErr w:type="spellStart"/>
      <w:proofErr w:type="gramStart"/>
      <w:r w:rsidRPr="008D32BC">
        <w:rPr>
          <w:rFonts w:ascii="Times New Roman" w:hAnsi="Times New Roman" w:cs="Times New Roman"/>
          <w:sz w:val="22"/>
          <w:szCs w:val="22"/>
        </w:rPr>
        <w:t>s.c</w:t>
      </w:r>
      <w:proofErr w:type="gramEnd"/>
      <w:r w:rsidRPr="008D32BC">
        <w:rPr>
          <w:rFonts w:ascii="Times New Roman" w:hAnsi="Times New Roman" w:cs="Times New Roman"/>
          <w:sz w:val="22"/>
          <w:szCs w:val="22"/>
        </w:rPr>
        <w:t>.</w:t>
      </w:r>
      <w:proofErr w:type="spellEnd"/>
      <w:r w:rsidRPr="008D32BC">
        <w:rPr>
          <w:rFonts w:ascii="Times New Roman" w:hAnsi="Times New Roman" w:cs="Times New Roman"/>
          <w:sz w:val="22"/>
          <w:szCs w:val="22"/>
        </w:rPr>
        <w:t xml:space="preserve"> every 12 h. In some experiments, </w:t>
      </w:r>
      <w:proofErr w:type="spellStart"/>
      <w:r w:rsidRPr="008D32BC">
        <w:rPr>
          <w:rFonts w:ascii="Times New Roman" w:hAnsi="Times New Roman" w:cs="Times New Roman"/>
          <w:sz w:val="22"/>
          <w:szCs w:val="22"/>
        </w:rPr>
        <w:t>anesthesized</w:t>
      </w:r>
      <w:proofErr w:type="spellEnd"/>
      <w:r w:rsidRPr="008D32BC">
        <w:rPr>
          <w:rFonts w:ascii="Times New Roman" w:hAnsi="Times New Roman" w:cs="Times New Roman"/>
          <w:sz w:val="22"/>
          <w:szCs w:val="22"/>
        </w:rPr>
        <w:t xml:space="preserve"> mice were subjected to MTV after CLP 12 h. An intraperitoneal injection of 1/3 initial dose of ketamine and </w:t>
      </w:r>
      <w:proofErr w:type="spellStart"/>
      <w:r w:rsidRPr="008D32BC">
        <w:rPr>
          <w:rFonts w:ascii="Times New Roman" w:hAnsi="Times New Roman" w:cs="Times New Roman"/>
          <w:sz w:val="22"/>
          <w:szCs w:val="22"/>
        </w:rPr>
        <w:t>xylazine</w:t>
      </w:r>
      <w:proofErr w:type="spellEnd"/>
      <w:r w:rsidRPr="008D32BC">
        <w:rPr>
          <w:rFonts w:ascii="Times New Roman" w:hAnsi="Times New Roman" w:cs="Times New Roman"/>
          <w:sz w:val="22"/>
          <w:szCs w:val="22"/>
        </w:rPr>
        <w:t xml:space="preserve"> was administered every 30 minutes to guarantee adequate anesthesia during mechanical ventilation. Body temperature was maintained at 37°C by a heating pad. Tracheotomy and intubation using 18G catheter was performed. Subsequently animals were connected to a Harvard Apparatus ventilator for 0-6 h. V</w:t>
      </w:r>
      <w:r w:rsidRPr="00026999">
        <w:rPr>
          <w:rFonts w:ascii="Times New Roman" w:hAnsi="Times New Roman" w:cs="Times New Roman"/>
          <w:sz w:val="22"/>
          <w:szCs w:val="22"/>
        </w:rPr>
        <w:t>T</w:t>
      </w:r>
      <w:r w:rsidRPr="008D32BC">
        <w:rPr>
          <w:rFonts w:ascii="Times New Roman" w:hAnsi="Times New Roman" w:cs="Times New Roman"/>
          <w:sz w:val="22"/>
          <w:szCs w:val="22"/>
        </w:rPr>
        <w:t xml:space="preserve"> was set at 10 ml/kg and frequency was set at 150/min, zero positive end-expiratory pressure (moderate in the sense that it is slightly above range of measured V</w:t>
      </w:r>
      <w:r w:rsidRPr="00026999">
        <w:rPr>
          <w:rFonts w:ascii="Times New Roman" w:hAnsi="Times New Roman" w:cs="Times New Roman"/>
          <w:sz w:val="22"/>
          <w:szCs w:val="22"/>
        </w:rPr>
        <w:t>T</w:t>
      </w:r>
      <w:r w:rsidRPr="008D32BC">
        <w:rPr>
          <w:rFonts w:ascii="Times New Roman" w:hAnsi="Times New Roman" w:cs="Times New Roman"/>
          <w:sz w:val="22"/>
          <w:szCs w:val="22"/>
        </w:rPr>
        <w:t xml:space="preserve"> (7 ml/kg) and respiratory rate during spontaneous ventilation). In some experiments, mice were </w:t>
      </w:r>
      <w:proofErr w:type="spellStart"/>
      <w:r w:rsidRPr="008D32BC">
        <w:rPr>
          <w:rFonts w:ascii="Times New Roman" w:hAnsi="Times New Roman" w:cs="Times New Roman"/>
          <w:sz w:val="22"/>
          <w:szCs w:val="22"/>
        </w:rPr>
        <w:t>intratracheally</w:t>
      </w:r>
      <w:proofErr w:type="spellEnd"/>
      <w:r w:rsidRPr="008D32BC">
        <w:rPr>
          <w:rFonts w:ascii="Times New Roman" w:hAnsi="Times New Roman" w:cs="Times New Roman"/>
          <w:sz w:val="22"/>
          <w:szCs w:val="22"/>
        </w:rPr>
        <w:t xml:space="preserve"> administered anti-WISP1, anti-integrin β5 or serum IgG (0.5 µg/g in 50 µl PBS) using a </w:t>
      </w:r>
      <w:proofErr w:type="spellStart"/>
      <w:r w:rsidRPr="008D32BC">
        <w:rPr>
          <w:rFonts w:ascii="Times New Roman" w:hAnsi="Times New Roman" w:cs="Times New Roman"/>
          <w:sz w:val="22"/>
          <w:szCs w:val="22"/>
        </w:rPr>
        <w:t>MicroSpray</w:t>
      </w:r>
      <w:proofErr w:type="spellEnd"/>
      <w:r w:rsidRPr="008D32BC">
        <w:rPr>
          <w:rFonts w:ascii="Times New Roman" w:hAnsi="Times New Roman" w:cs="Times New Roman"/>
          <w:sz w:val="22"/>
          <w:szCs w:val="22"/>
        </w:rPr>
        <w:t xml:space="preserve"> syringe (</w:t>
      </w:r>
      <w:proofErr w:type="spellStart"/>
      <w:r w:rsidRPr="008D32BC">
        <w:rPr>
          <w:rFonts w:ascii="Times New Roman" w:hAnsi="Times New Roman" w:cs="Times New Roman"/>
          <w:sz w:val="22"/>
          <w:szCs w:val="22"/>
        </w:rPr>
        <w:t>MicroSprayer</w:t>
      </w:r>
      <w:proofErr w:type="spellEnd"/>
      <w:r w:rsidRPr="008D32BC">
        <w:rPr>
          <w:rFonts w:ascii="Times New Roman" w:hAnsi="Times New Roman" w:cs="Times New Roman"/>
          <w:sz w:val="22"/>
          <w:szCs w:val="22"/>
        </w:rPr>
        <w:t xml:space="preserve">®/Syringe Assembly for Mouse, MSA-250-M, Penn-Century, Inc.) before mechanical ventilation (Figure </w:t>
      </w:r>
      <w:r>
        <w:rPr>
          <w:rFonts w:ascii="Times New Roman" w:hAnsi="Times New Roman" w:cs="Times New Roman"/>
          <w:sz w:val="22"/>
          <w:szCs w:val="22"/>
        </w:rPr>
        <w:t>S</w:t>
      </w:r>
      <w:r w:rsidRPr="008D32BC">
        <w:rPr>
          <w:rFonts w:ascii="Times New Roman" w:hAnsi="Times New Roman" w:cs="Times New Roman"/>
          <w:sz w:val="22"/>
          <w:szCs w:val="22"/>
        </w:rPr>
        <w:t xml:space="preserve">1). Mice were euthanized by opening the chest cavity and withdrawal </w:t>
      </w:r>
      <w:r w:rsidRPr="008D32BC">
        <w:rPr>
          <w:rFonts w:ascii="Times New Roman" w:hAnsi="Times New Roman" w:cs="Times New Roman"/>
          <w:sz w:val="22"/>
          <w:szCs w:val="22"/>
        </w:rPr>
        <w:lastRenderedPageBreak/>
        <w:t>of blood by cardiac puncture.</w:t>
      </w:r>
    </w:p>
    <w:p w:rsidR="00E81DF3" w:rsidRDefault="00E81DF3" w:rsidP="00E81DF3">
      <w:pPr>
        <w:spacing w:line="360" w:lineRule="auto"/>
        <w:rPr>
          <w:rFonts w:ascii="Times New Roman" w:hAnsi="Times New Roman" w:cs="Times New Roman"/>
          <w:sz w:val="22"/>
          <w:szCs w:val="22"/>
        </w:rPr>
      </w:pPr>
    </w:p>
    <w:p w:rsidR="00E81DF3" w:rsidRPr="008D32BC" w:rsidRDefault="00E81DF3" w:rsidP="00E81DF3">
      <w:pPr>
        <w:spacing w:line="360" w:lineRule="auto"/>
        <w:rPr>
          <w:rFonts w:ascii="Times New Roman" w:hAnsi="Times New Roman" w:cs="Times New Roman"/>
          <w:b/>
          <w:sz w:val="22"/>
          <w:szCs w:val="22"/>
        </w:rPr>
      </w:pPr>
      <w:r w:rsidRPr="008D32BC">
        <w:rPr>
          <w:rFonts w:ascii="Times New Roman" w:hAnsi="Times New Roman" w:cs="Times New Roman"/>
          <w:b/>
          <w:sz w:val="22"/>
          <w:szCs w:val="22"/>
        </w:rPr>
        <w:t xml:space="preserve">Isolation and culture of peritoneal macrophages (PM) </w:t>
      </w:r>
    </w:p>
    <w:p w:rsidR="00E81DF3" w:rsidRPr="008D32BC" w:rsidRDefault="00E81DF3" w:rsidP="00E81DF3">
      <w:pPr>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8D32BC">
        <w:rPr>
          <w:rFonts w:ascii="Times New Roman" w:hAnsi="Times New Roman" w:cs="Times New Roman"/>
          <w:sz w:val="22"/>
          <w:szCs w:val="22"/>
        </w:rPr>
        <w:t xml:space="preserve">The peritoneal cavity was injected (5-10X) with 5 ml of ice cold PBS (with 3% FBS) and the peritoneum was gently messaged to dislodge cells into the PBS solution. The suspension was aspirated and centrifuged at 1500 RPM for 8 min, and cell pellet was </w:t>
      </w:r>
      <w:proofErr w:type="spellStart"/>
      <w:r w:rsidRPr="008D32BC">
        <w:rPr>
          <w:rFonts w:ascii="Times New Roman" w:hAnsi="Times New Roman" w:cs="Times New Roman"/>
          <w:sz w:val="22"/>
          <w:szCs w:val="22"/>
        </w:rPr>
        <w:t>resuspended</w:t>
      </w:r>
      <w:proofErr w:type="spellEnd"/>
      <w:r w:rsidRPr="008D32BC">
        <w:rPr>
          <w:rFonts w:ascii="Times New Roman" w:hAnsi="Times New Roman" w:cs="Times New Roman"/>
          <w:sz w:val="22"/>
          <w:szCs w:val="22"/>
        </w:rPr>
        <w:t xml:space="preserve"> in Dulbecco’s Modified Eagle Medium (DMEM) supplemented with 10% fetal bovine serum (FBS), 100U/ml penicillin and 100 µg/ml streptomycin and seeded in 6/12 well plates at a concentration of 1×10</w:t>
      </w:r>
      <w:r w:rsidRPr="008D32BC">
        <w:rPr>
          <w:rFonts w:ascii="Times New Roman" w:hAnsi="Times New Roman" w:cs="Times New Roman"/>
          <w:sz w:val="22"/>
          <w:szCs w:val="22"/>
          <w:vertAlign w:val="superscript"/>
        </w:rPr>
        <w:t>6</w:t>
      </w:r>
      <w:r w:rsidRPr="008D32BC">
        <w:rPr>
          <w:rFonts w:ascii="Times New Roman" w:hAnsi="Times New Roman" w:cs="Times New Roman"/>
          <w:sz w:val="22"/>
          <w:szCs w:val="22"/>
        </w:rPr>
        <w:t xml:space="preserve"> cells/ml. All media were from </w:t>
      </w:r>
      <w:proofErr w:type="spellStart"/>
      <w:r w:rsidRPr="008D32BC">
        <w:rPr>
          <w:rFonts w:ascii="Times New Roman" w:hAnsi="Times New Roman" w:cs="Times New Roman"/>
          <w:sz w:val="22"/>
          <w:szCs w:val="22"/>
        </w:rPr>
        <w:t>Thermo</w:t>
      </w:r>
      <w:proofErr w:type="spellEnd"/>
      <w:r w:rsidRPr="008D32BC">
        <w:rPr>
          <w:rFonts w:ascii="Times New Roman" w:hAnsi="Times New Roman" w:cs="Times New Roman"/>
          <w:sz w:val="22"/>
          <w:szCs w:val="22"/>
        </w:rPr>
        <w:t xml:space="preserve"> Fisher Scientific. After overnight incubation at 37°C and 5% CO</w:t>
      </w:r>
      <w:r w:rsidRPr="008D32BC">
        <w:rPr>
          <w:rFonts w:ascii="Times New Roman" w:hAnsi="Times New Roman" w:cs="Times New Roman"/>
          <w:sz w:val="22"/>
          <w:szCs w:val="22"/>
          <w:vertAlign w:val="subscript"/>
        </w:rPr>
        <w:t>2</w:t>
      </w:r>
      <w:r w:rsidRPr="008D32BC">
        <w:rPr>
          <w:rFonts w:ascii="Times New Roman" w:hAnsi="Times New Roman" w:cs="Times New Roman"/>
          <w:sz w:val="22"/>
          <w:szCs w:val="22"/>
        </w:rPr>
        <w:t>, plates were washed twice with PBS to remove non-adherent cells and incubated overnight with low-serum medium (1% FBS). Cells were treated with re</w:t>
      </w:r>
      <w:r>
        <w:rPr>
          <w:rFonts w:ascii="Times New Roman" w:hAnsi="Times New Roman" w:cs="Times New Roman"/>
          <w:sz w:val="22"/>
          <w:szCs w:val="22"/>
        </w:rPr>
        <w:t>-</w:t>
      </w:r>
      <w:r w:rsidRPr="008D32BC">
        <w:rPr>
          <w:rFonts w:ascii="Times New Roman" w:hAnsi="Times New Roman" w:cs="Times New Roman"/>
          <w:sz w:val="22"/>
          <w:szCs w:val="22"/>
        </w:rPr>
        <w:t>purified LPS and/or co-stimulated with WISP1 recombinant protein.</w:t>
      </w:r>
    </w:p>
    <w:p w:rsidR="00E81DF3" w:rsidRPr="008D32BC" w:rsidRDefault="00E81DF3" w:rsidP="00E81DF3">
      <w:pPr>
        <w:spacing w:line="360" w:lineRule="auto"/>
        <w:rPr>
          <w:rFonts w:ascii="Times New Roman" w:hAnsi="Times New Roman" w:cs="Times New Roman"/>
          <w:b/>
          <w:sz w:val="22"/>
          <w:szCs w:val="22"/>
        </w:rPr>
      </w:pPr>
      <w:r w:rsidRPr="008D32BC">
        <w:rPr>
          <w:rFonts w:ascii="Times New Roman" w:hAnsi="Times New Roman" w:cs="Times New Roman"/>
          <w:b/>
          <w:sz w:val="22"/>
          <w:szCs w:val="22"/>
        </w:rPr>
        <w:t>Flow cytometry</w:t>
      </w:r>
    </w:p>
    <w:p w:rsidR="00E81DF3" w:rsidRPr="008D32BC" w:rsidRDefault="00E81DF3" w:rsidP="00E81DF3">
      <w:pPr>
        <w:spacing w:line="360" w:lineRule="auto"/>
        <w:ind w:firstLine="420"/>
        <w:rPr>
          <w:rFonts w:ascii="Times New Roman" w:hAnsi="Times New Roman" w:cs="Times New Roman"/>
          <w:sz w:val="22"/>
          <w:szCs w:val="22"/>
        </w:rPr>
      </w:pPr>
      <w:r w:rsidRPr="008D32BC">
        <w:rPr>
          <w:rFonts w:ascii="Times New Roman" w:hAnsi="Times New Roman" w:cs="Times New Roman"/>
          <w:sz w:val="22"/>
          <w:szCs w:val="22"/>
        </w:rPr>
        <w:t xml:space="preserve">Lung was enzymatically digested and mechanically dissociated (MACS </w:t>
      </w:r>
      <w:proofErr w:type="spellStart"/>
      <w:r w:rsidRPr="008D32BC">
        <w:rPr>
          <w:rFonts w:ascii="Times New Roman" w:hAnsi="Times New Roman" w:cs="Times New Roman"/>
          <w:sz w:val="22"/>
          <w:szCs w:val="22"/>
        </w:rPr>
        <w:t>dissociator</w:t>
      </w:r>
      <w:proofErr w:type="spellEnd"/>
      <w:r w:rsidRPr="008D32BC">
        <w:rPr>
          <w:rFonts w:ascii="Times New Roman" w:hAnsi="Times New Roman" w:cs="Times New Roman"/>
          <w:sz w:val="22"/>
          <w:szCs w:val="22"/>
        </w:rPr>
        <w:t xml:space="preserve">) and single cell suspensions were isolated by passing suspension through 70-μm filter. Cells were stained with </w:t>
      </w:r>
      <w:proofErr w:type="spellStart"/>
      <w:r w:rsidRPr="008D32BC">
        <w:rPr>
          <w:rFonts w:ascii="Times New Roman" w:hAnsi="Times New Roman" w:cs="Times New Roman"/>
          <w:sz w:val="22"/>
          <w:szCs w:val="22"/>
        </w:rPr>
        <w:t>mAbs</w:t>
      </w:r>
      <w:proofErr w:type="spellEnd"/>
      <w:r w:rsidRPr="008D32BC">
        <w:rPr>
          <w:rFonts w:ascii="Times New Roman" w:hAnsi="Times New Roman" w:cs="Times New Roman"/>
          <w:sz w:val="22"/>
          <w:szCs w:val="22"/>
        </w:rPr>
        <w:t xml:space="preserve"> specific to Fixable Viability Dye </w:t>
      </w:r>
      <w:proofErr w:type="spellStart"/>
      <w:r w:rsidRPr="008D32BC">
        <w:rPr>
          <w:rFonts w:ascii="Times New Roman" w:hAnsi="Times New Roman" w:cs="Times New Roman"/>
          <w:sz w:val="22"/>
          <w:szCs w:val="22"/>
        </w:rPr>
        <w:t>eFluor</w:t>
      </w:r>
      <w:proofErr w:type="spellEnd"/>
      <w:r w:rsidRPr="008D32BC">
        <w:rPr>
          <w:rFonts w:ascii="Times New Roman" w:hAnsi="Times New Roman" w:cs="Times New Roman"/>
          <w:sz w:val="22"/>
          <w:szCs w:val="22"/>
        </w:rPr>
        <w:t xml:space="preserve">® 506, CD45, CD11b, Ly6G for </w:t>
      </w:r>
      <w:r w:rsidRPr="008D32BC">
        <w:rPr>
          <w:rFonts w:ascii="Times New Roman" w:hAnsi="Times New Roman" w:cs="Times New Roman" w:hint="eastAsia"/>
          <w:sz w:val="22"/>
          <w:szCs w:val="22"/>
        </w:rPr>
        <w:t xml:space="preserve">30 minutes at 4°C and fixed with 2% paraformaldehyde for 10 minutes at 4℃. An LSR II (Becton Dickinson) was used for flow cytometry and data were analyzed with </w:t>
      </w:r>
      <w:proofErr w:type="spellStart"/>
      <w:r w:rsidRPr="008D32BC">
        <w:rPr>
          <w:rFonts w:ascii="Times New Roman" w:hAnsi="Times New Roman" w:cs="Times New Roman"/>
          <w:sz w:val="22"/>
          <w:szCs w:val="22"/>
        </w:rPr>
        <w:t>FlowJo</w:t>
      </w:r>
      <w:proofErr w:type="spellEnd"/>
      <w:r w:rsidRPr="008D32BC">
        <w:rPr>
          <w:rFonts w:ascii="Times New Roman" w:hAnsi="Times New Roman" w:cs="Times New Roman"/>
          <w:sz w:val="22"/>
          <w:szCs w:val="22"/>
        </w:rPr>
        <w:t xml:space="preserve"> software. </w:t>
      </w:r>
    </w:p>
    <w:p w:rsidR="00E81DF3" w:rsidRPr="008D32BC" w:rsidRDefault="00E81DF3" w:rsidP="00E81DF3">
      <w:pPr>
        <w:spacing w:line="360" w:lineRule="auto"/>
        <w:rPr>
          <w:rFonts w:ascii="Times New Roman" w:hAnsi="Times New Roman" w:cs="Times New Roman"/>
          <w:sz w:val="22"/>
          <w:szCs w:val="22"/>
        </w:rPr>
      </w:pPr>
    </w:p>
    <w:p w:rsidR="00E81DF3" w:rsidRPr="008D32BC" w:rsidRDefault="00E81DF3" w:rsidP="00E81DF3">
      <w:pPr>
        <w:spacing w:line="360" w:lineRule="auto"/>
        <w:rPr>
          <w:rFonts w:ascii="Times New Roman" w:hAnsi="Times New Roman" w:cs="Times New Roman"/>
          <w:b/>
          <w:sz w:val="22"/>
          <w:szCs w:val="22"/>
        </w:rPr>
      </w:pPr>
      <w:r w:rsidRPr="008D32BC">
        <w:rPr>
          <w:rFonts w:ascii="Times New Roman" w:hAnsi="Times New Roman" w:cs="Times New Roman"/>
          <w:b/>
          <w:sz w:val="22"/>
          <w:szCs w:val="22"/>
        </w:rPr>
        <w:t>Western blot analysis</w:t>
      </w:r>
    </w:p>
    <w:p w:rsidR="00E81DF3" w:rsidRDefault="00E81DF3" w:rsidP="00E81DF3">
      <w:pPr>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8D32BC">
        <w:rPr>
          <w:rFonts w:ascii="Times New Roman" w:hAnsi="Times New Roman" w:cs="Times New Roman"/>
          <w:sz w:val="22"/>
          <w:szCs w:val="22"/>
        </w:rPr>
        <w:t xml:space="preserve">PM and lung tissues were lysed in buffer (Cell signaling Technology) and </w:t>
      </w:r>
      <w:proofErr w:type="spellStart"/>
      <w:r w:rsidRPr="008D32BC">
        <w:rPr>
          <w:rFonts w:ascii="Times New Roman" w:hAnsi="Times New Roman" w:cs="Times New Roman"/>
          <w:sz w:val="22"/>
          <w:szCs w:val="22"/>
        </w:rPr>
        <w:t>phenylmethylsulfonyl</w:t>
      </w:r>
      <w:proofErr w:type="spellEnd"/>
      <w:r w:rsidRPr="008D32BC">
        <w:rPr>
          <w:rFonts w:ascii="Times New Roman" w:hAnsi="Times New Roman" w:cs="Times New Roman"/>
          <w:sz w:val="22"/>
          <w:szCs w:val="22"/>
        </w:rPr>
        <w:t xml:space="preserve"> fluoride (PMSF). Protein concentrations were subsequently determined by standard BCA assay. After addition of 6× sodium dodecyl sulfate (SDS) loading buffer, equivalent amounts of protein were heated (100°C, 5 min) and separated by gel electrophoresis using a 10% SDS-polyacrylamide electrophoresis gel. Resolved proteins were then transferred to a nitrocellulose membrane and blocked with </w:t>
      </w:r>
      <w:proofErr w:type="spellStart"/>
      <w:r w:rsidRPr="008D32BC">
        <w:rPr>
          <w:rFonts w:ascii="Times New Roman" w:hAnsi="Times New Roman" w:cs="Times New Roman"/>
          <w:sz w:val="22"/>
          <w:szCs w:val="22"/>
        </w:rPr>
        <w:t>Tris</w:t>
      </w:r>
      <w:proofErr w:type="spellEnd"/>
      <w:r w:rsidRPr="008D32BC">
        <w:rPr>
          <w:rFonts w:ascii="Times New Roman" w:hAnsi="Times New Roman" w:cs="Times New Roman"/>
          <w:sz w:val="22"/>
          <w:szCs w:val="22"/>
        </w:rPr>
        <w:t xml:space="preserve">-buffered saline containing Tween-20 (TBST) and 5% nonfat milk (1 h, 24°C). Nitrocellulose membranes were incubated overnight at 4°C with primary antibody. The membranes were washed in TBST three times, incubated with horseradish peroxidase-conjugated secondary antibody for 1 h at </w:t>
      </w:r>
      <w:r w:rsidRPr="008D32BC">
        <w:rPr>
          <w:rFonts w:ascii="Times New Roman" w:hAnsi="Times New Roman" w:cs="Times New Roman"/>
          <w:sz w:val="22"/>
          <w:szCs w:val="22"/>
        </w:rPr>
        <w:lastRenderedPageBreak/>
        <w:t xml:space="preserve">37°C and then washed in TBST three additional times, before being developed for </w:t>
      </w:r>
      <w:proofErr w:type="spellStart"/>
      <w:r w:rsidRPr="008D32BC">
        <w:rPr>
          <w:rFonts w:ascii="Times New Roman" w:hAnsi="Times New Roman" w:cs="Times New Roman"/>
          <w:sz w:val="22"/>
          <w:szCs w:val="22"/>
        </w:rPr>
        <w:t>chemiluminescence</w:t>
      </w:r>
      <w:proofErr w:type="spellEnd"/>
      <w:r w:rsidRPr="008D32BC">
        <w:rPr>
          <w:rFonts w:ascii="Times New Roman" w:hAnsi="Times New Roman" w:cs="Times New Roman"/>
          <w:sz w:val="22"/>
          <w:szCs w:val="22"/>
        </w:rPr>
        <w:t xml:space="preserve"> (</w:t>
      </w:r>
      <w:proofErr w:type="spellStart"/>
      <w:r w:rsidRPr="008D32BC">
        <w:rPr>
          <w:rFonts w:ascii="Times New Roman" w:hAnsi="Times New Roman" w:cs="Times New Roman"/>
          <w:sz w:val="22"/>
          <w:szCs w:val="22"/>
        </w:rPr>
        <w:t>Thermo</w:t>
      </w:r>
      <w:proofErr w:type="spellEnd"/>
      <w:r w:rsidRPr="008D32BC">
        <w:rPr>
          <w:rFonts w:ascii="Times New Roman" w:hAnsi="Times New Roman" w:cs="Times New Roman"/>
          <w:sz w:val="22"/>
          <w:szCs w:val="22"/>
        </w:rPr>
        <w:t xml:space="preserve"> Fisher Scientific). Western blots were quantitated using Quantity One software (Bio-Rad, Foster City, CA, USA) and normalized to β-actin signal.</w:t>
      </w:r>
    </w:p>
    <w:p w:rsidR="00E81DF3" w:rsidRDefault="00E81DF3" w:rsidP="00E81DF3">
      <w:pPr>
        <w:spacing w:line="360" w:lineRule="auto"/>
        <w:rPr>
          <w:rFonts w:ascii="Times New Roman" w:hAnsi="Times New Roman" w:cs="Times New Roman"/>
          <w:sz w:val="22"/>
          <w:szCs w:val="22"/>
        </w:rPr>
      </w:pPr>
    </w:p>
    <w:p w:rsidR="00E81DF3" w:rsidRPr="00A32767" w:rsidRDefault="00E81DF3" w:rsidP="00E81DF3">
      <w:pPr>
        <w:spacing w:line="360" w:lineRule="auto"/>
        <w:rPr>
          <w:rFonts w:ascii="Times New Roman" w:hAnsi="Times New Roman" w:cs="Times New Roman"/>
          <w:b/>
          <w:sz w:val="22"/>
          <w:szCs w:val="22"/>
        </w:rPr>
      </w:pPr>
      <w:r w:rsidRPr="00A32767">
        <w:rPr>
          <w:rFonts w:ascii="Times New Roman" w:hAnsi="Times New Roman" w:cs="Times New Roman"/>
          <w:b/>
          <w:sz w:val="22"/>
          <w:szCs w:val="22"/>
        </w:rPr>
        <w:t>Histological analyses</w:t>
      </w:r>
    </w:p>
    <w:p w:rsidR="00E81DF3" w:rsidRPr="008D32BC" w:rsidRDefault="00E81DF3" w:rsidP="00E81DF3">
      <w:pPr>
        <w:spacing w:line="360" w:lineRule="auto"/>
        <w:ind w:firstLine="418"/>
        <w:rPr>
          <w:rFonts w:ascii="Times New Roman" w:hAnsi="Times New Roman" w:cs="Times New Roman"/>
          <w:sz w:val="22"/>
          <w:szCs w:val="22"/>
        </w:rPr>
      </w:pPr>
      <w:r w:rsidRPr="008D32BC">
        <w:rPr>
          <w:rFonts w:ascii="Times New Roman" w:hAnsi="Times New Roman" w:cs="Times New Roman"/>
          <w:sz w:val="22"/>
          <w:szCs w:val="22"/>
        </w:rPr>
        <w:t xml:space="preserve">Lung tissue samples were fixed in 4% paraformaldehyde in PBS overnight at 4°C. The samples were then dehydrated, embedded in paraffin, and cut into 5 </w:t>
      </w:r>
      <w:proofErr w:type="spellStart"/>
      <w:r w:rsidRPr="008D32BC">
        <w:rPr>
          <w:rFonts w:ascii="Times New Roman" w:hAnsi="Times New Roman" w:cs="Times New Roman"/>
          <w:sz w:val="22"/>
          <w:szCs w:val="22"/>
        </w:rPr>
        <w:t>μm</w:t>
      </w:r>
      <w:proofErr w:type="spellEnd"/>
      <w:r w:rsidRPr="008D32BC">
        <w:rPr>
          <w:rFonts w:ascii="Times New Roman" w:hAnsi="Times New Roman" w:cs="Times New Roman"/>
          <w:sz w:val="22"/>
          <w:szCs w:val="22"/>
        </w:rPr>
        <w:t xml:space="preserve"> sections. After </w:t>
      </w:r>
      <w:proofErr w:type="spellStart"/>
      <w:r w:rsidRPr="008D32BC">
        <w:rPr>
          <w:rFonts w:ascii="Times New Roman" w:hAnsi="Times New Roman" w:cs="Times New Roman"/>
          <w:sz w:val="22"/>
          <w:szCs w:val="22"/>
        </w:rPr>
        <w:t>deparaffinization</w:t>
      </w:r>
      <w:proofErr w:type="spellEnd"/>
      <w:r w:rsidRPr="008D32BC">
        <w:rPr>
          <w:rFonts w:ascii="Times New Roman" w:hAnsi="Times New Roman" w:cs="Times New Roman"/>
          <w:sz w:val="22"/>
          <w:szCs w:val="22"/>
        </w:rPr>
        <w:t xml:space="preserve">, the tissues were stained with hematoxylin and eosin (H&amp;E) for histological analysis. Lung sections were scored for lung injury, including the following: (1) alveolar and capillary edema, (2) intravascular and </w:t>
      </w:r>
      <w:proofErr w:type="spellStart"/>
      <w:r w:rsidRPr="008D32BC">
        <w:rPr>
          <w:rFonts w:ascii="Times New Roman" w:hAnsi="Times New Roman" w:cs="Times New Roman"/>
          <w:sz w:val="22"/>
          <w:szCs w:val="22"/>
        </w:rPr>
        <w:t>peri</w:t>
      </w:r>
      <w:proofErr w:type="spellEnd"/>
      <w:r w:rsidRPr="008D32BC">
        <w:rPr>
          <w:rFonts w:ascii="Times New Roman" w:hAnsi="Times New Roman" w:cs="Times New Roman"/>
          <w:sz w:val="22"/>
          <w:szCs w:val="22"/>
        </w:rPr>
        <w:t>-bronchial influx of inflammatory cells, (3) thickness of the alveolar wall, and (4) hemorrhage. The items were semi-quantitatively sco</w:t>
      </w:r>
      <w:r w:rsidRPr="004411BF">
        <w:rPr>
          <w:rFonts w:ascii="Times New Roman" w:hAnsi="Times New Roman" w:cs="Times New Roman"/>
        </w:rPr>
        <w:t xml:space="preserve">red </w:t>
      </w:r>
      <w:r w:rsidRPr="008D32BC">
        <w:rPr>
          <w:rFonts w:ascii="Times New Roman" w:hAnsi="Times New Roman" w:cs="Times New Roman"/>
          <w:sz w:val="22"/>
          <w:szCs w:val="22"/>
        </w:rPr>
        <w:t>as none, minimal, light, moderate, or severe (score 0, 1, 2, 3 or 4, respectively) by a pathologist blinded to the experimental group. The lung injury score was obtained by averaging the score from the animals within each group.</w:t>
      </w:r>
    </w:p>
    <w:p w:rsidR="00E81DF3" w:rsidRPr="008D32BC" w:rsidRDefault="00E81DF3" w:rsidP="00E81DF3">
      <w:pPr>
        <w:spacing w:line="360" w:lineRule="auto"/>
        <w:rPr>
          <w:rFonts w:ascii="Times New Roman" w:hAnsi="Times New Roman" w:cs="Times New Roman"/>
          <w:b/>
          <w:sz w:val="22"/>
          <w:szCs w:val="22"/>
        </w:rPr>
      </w:pPr>
      <w:r w:rsidRPr="008D32BC">
        <w:rPr>
          <w:rFonts w:ascii="Times New Roman" w:hAnsi="Times New Roman" w:cs="Times New Roman"/>
          <w:b/>
          <w:sz w:val="22"/>
          <w:szCs w:val="22"/>
        </w:rPr>
        <w:t>Alveolar-capillary permeability</w:t>
      </w:r>
    </w:p>
    <w:p w:rsidR="00E81DF3" w:rsidRPr="008D32BC" w:rsidRDefault="00E81DF3" w:rsidP="00E81DF3">
      <w:pPr>
        <w:spacing w:line="360" w:lineRule="auto"/>
        <w:rPr>
          <w:rFonts w:ascii="Times New Roman" w:hAnsi="Times New Roman" w:cs="Times New Roman"/>
          <w:sz w:val="22"/>
          <w:szCs w:val="22"/>
        </w:rPr>
      </w:pPr>
      <w:r w:rsidRPr="008D32BC">
        <w:rPr>
          <w:rFonts w:ascii="Times New Roman" w:hAnsi="Times New Roman" w:cs="Times New Roman"/>
          <w:sz w:val="22"/>
          <w:szCs w:val="22"/>
        </w:rPr>
        <w:t xml:space="preserve">Evans blue albumin (EBA, 0.5%, 25 mg/kg body weight) was injected into the internal jugular vein 1 h before euthanasia and lung harvesting. Blood samples were obtained from the right heart, and the pulmonary vasculature was subsequently infused with 1 mL PBS. The lung tissue was homogenized in 2 ml PBS and incubated with an additional 2 ml of </w:t>
      </w:r>
      <w:proofErr w:type="spellStart"/>
      <w:r w:rsidRPr="008D32BC">
        <w:rPr>
          <w:rFonts w:ascii="Times New Roman" w:hAnsi="Times New Roman" w:cs="Times New Roman"/>
          <w:sz w:val="22"/>
          <w:szCs w:val="22"/>
        </w:rPr>
        <w:t>formamide</w:t>
      </w:r>
      <w:proofErr w:type="spellEnd"/>
      <w:r w:rsidRPr="008D32BC">
        <w:rPr>
          <w:rFonts w:ascii="Times New Roman" w:hAnsi="Times New Roman" w:cs="Times New Roman"/>
          <w:sz w:val="22"/>
          <w:szCs w:val="22"/>
        </w:rPr>
        <w:t xml:space="preserve"> (Sigma-Aldrich) (18 h; 60°C). </w:t>
      </w:r>
      <w:proofErr w:type="spellStart"/>
      <w:r w:rsidRPr="008D32BC">
        <w:rPr>
          <w:rFonts w:ascii="Times New Roman" w:hAnsi="Times New Roman" w:cs="Times New Roman"/>
          <w:sz w:val="22"/>
          <w:szCs w:val="22"/>
        </w:rPr>
        <w:t>Formamide</w:t>
      </w:r>
      <w:proofErr w:type="spellEnd"/>
      <w:r w:rsidRPr="008D32BC">
        <w:rPr>
          <w:rFonts w:ascii="Times New Roman" w:hAnsi="Times New Roman" w:cs="Times New Roman"/>
          <w:sz w:val="22"/>
          <w:szCs w:val="22"/>
        </w:rPr>
        <w:t xml:space="preserve"> extracts were centrifuged (15,000 g × 30 min; 4°C), and the supernatants were collected to quantify lung EBA content using a dual-wavelength (620 nm and 740 nm) spectrophotometric method. Pulmonary EBA absorbance at 620 nm was corrected by a factor with EBA absorbance at 740 nm. The EBA permeability index was calculated by dividing pulmonary EBA absorbance at 620 nm/g of lung tissue by plasma EBA absorbance at 620 nm.</w:t>
      </w:r>
    </w:p>
    <w:p w:rsidR="00E81DF3" w:rsidRDefault="00E81DF3" w:rsidP="00E81DF3">
      <w:pPr>
        <w:spacing w:line="360" w:lineRule="auto"/>
        <w:rPr>
          <w:rFonts w:ascii="Times New Roman" w:hAnsi="Times New Roman" w:cs="Times New Roman"/>
          <w:sz w:val="22"/>
          <w:szCs w:val="22"/>
        </w:rPr>
      </w:pPr>
    </w:p>
    <w:p w:rsidR="00E81DF3" w:rsidRPr="008D32BC" w:rsidRDefault="00E81DF3" w:rsidP="00E81DF3">
      <w:pPr>
        <w:spacing w:line="360" w:lineRule="auto"/>
        <w:rPr>
          <w:rFonts w:ascii="Times New Roman" w:hAnsi="Times New Roman" w:cs="Times New Roman"/>
          <w:b/>
          <w:sz w:val="22"/>
          <w:szCs w:val="22"/>
        </w:rPr>
      </w:pPr>
      <w:r>
        <w:rPr>
          <w:rFonts w:ascii="Times New Roman" w:hAnsi="Times New Roman" w:cs="Times New Roman"/>
          <w:b/>
          <w:sz w:val="22"/>
          <w:szCs w:val="22"/>
        </w:rPr>
        <w:t>ELISA</w:t>
      </w:r>
    </w:p>
    <w:p w:rsidR="00E81DF3" w:rsidRPr="008D32BC" w:rsidRDefault="00E81DF3" w:rsidP="00E81DF3">
      <w:pPr>
        <w:spacing w:line="360" w:lineRule="auto"/>
        <w:ind w:firstLine="420"/>
        <w:rPr>
          <w:rFonts w:ascii="Times New Roman" w:hAnsi="Times New Roman" w:cs="Times New Roman"/>
          <w:sz w:val="22"/>
          <w:szCs w:val="22"/>
        </w:rPr>
      </w:pPr>
      <w:r w:rsidRPr="008D32BC">
        <w:rPr>
          <w:rFonts w:ascii="Times New Roman" w:hAnsi="Times New Roman" w:cs="Times New Roman"/>
          <w:sz w:val="22"/>
          <w:szCs w:val="22"/>
        </w:rPr>
        <w:t>Cell supernatants and plasma were assayed for cytokines and chemokines using commercially available ELISA reagents for TNFα, IL-6, MIP-2 and MCP-1 (</w:t>
      </w:r>
      <w:proofErr w:type="spellStart"/>
      <w:r w:rsidRPr="008D32BC">
        <w:rPr>
          <w:rFonts w:ascii="Times New Roman" w:hAnsi="Times New Roman" w:cs="Times New Roman"/>
          <w:sz w:val="22"/>
          <w:szCs w:val="22"/>
        </w:rPr>
        <w:t>Duoset</w:t>
      </w:r>
      <w:proofErr w:type="spellEnd"/>
      <w:r w:rsidRPr="008D32BC">
        <w:rPr>
          <w:rFonts w:ascii="Times New Roman" w:hAnsi="Times New Roman" w:cs="Times New Roman"/>
          <w:sz w:val="22"/>
          <w:szCs w:val="22"/>
        </w:rPr>
        <w:t>, R&amp;D System).</w:t>
      </w:r>
    </w:p>
    <w:p w:rsidR="00E81DF3" w:rsidRPr="008D32BC" w:rsidRDefault="00E81DF3" w:rsidP="00E81DF3">
      <w:pPr>
        <w:spacing w:line="360" w:lineRule="auto"/>
        <w:rPr>
          <w:rFonts w:ascii="Times New Roman" w:hAnsi="Times New Roman" w:cs="Times New Roman"/>
          <w:b/>
          <w:sz w:val="22"/>
          <w:szCs w:val="22"/>
        </w:rPr>
      </w:pPr>
      <w:r w:rsidRPr="008D32BC">
        <w:rPr>
          <w:rFonts w:ascii="Times New Roman" w:hAnsi="Times New Roman" w:cs="Times New Roman"/>
          <w:b/>
          <w:sz w:val="22"/>
          <w:szCs w:val="22"/>
        </w:rPr>
        <w:t>Immunofluorescence staining of cells and florescence microscopy</w:t>
      </w:r>
    </w:p>
    <w:p w:rsidR="00E81DF3" w:rsidRPr="008D32BC" w:rsidRDefault="00E81DF3" w:rsidP="00E81DF3">
      <w:pPr>
        <w:spacing w:line="360" w:lineRule="auto"/>
        <w:ind w:firstLine="420"/>
        <w:rPr>
          <w:rFonts w:ascii="Times New Roman" w:hAnsi="Times New Roman" w:cs="Times New Roman"/>
          <w:sz w:val="22"/>
          <w:szCs w:val="22"/>
        </w:rPr>
      </w:pPr>
      <w:r w:rsidRPr="008D32BC">
        <w:rPr>
          <w:rFonts w:ascii="Times New Roman" w:hAnsi="Times New Roman" w:cs="Times New Roman"/>
          <w:sz w:val="22"/>
          <w:szCs w:val="22"/>
        </w:rPr>
        <w:lastRenderedPageBreak/>
        <w:t xml:space="preserve">PM were cultured for a defined time period, fixed in 4% paraformaldehyde in PBS for 15 min. Cells were washed three timers with PBS and </w:t>
      </w:r>
      <w:proofErr w:type="spellStart"/>
      <w:r w:rsidRPr="008D32BC">
        <w:rPr>
          <w:rFonts w:ascii="Times New Roman" w:hAnsi="Times New Roman" w:cs="Times New Roman"/>
          <w:sz w:val="22"/>
          <w:szCs w:val="22"/>
        </w:rPr>
        <w:t>permeabilized</w:t>
      </w:r>
      <w:proofErr w:type="spellEnd"/>
      <w:r w:rsidRPr="008D32BC">
        <w:rPr>
          <w:rFonts w:ascii="Times New Roman" w:hAnsi="Times New Roman" w:cs="Times New Roman"/>
          <w:sz w:val="22"/>
          <w:szCs w:val="22"/>
        </w:rPr>
        <w:t xml:space="preserve"> using 0.1% Triton X-100 in PBS, and blocked with 5% BSA for 45 min and sequentially administered primary antibody and secondary antibody (Alexa-488-conjugated donkey anti rabbit secondary antibody). Nuclei were stained with DAPI (</w:t>
      </w:r>
      <w:proofErr w:type="spellStart"/>
      <w:r w:rsidRPr="008D32BC">
        <w:rPr>
          <w:rFonts w:ascii="Times New Roman" w:hAnsi="Times New Roman" w:cs="Times New Roman"/>
          <w:sz w:val="22"/>
          <w:szCs w:val="22"/>
        </w:rPr>
        <w:t>Thermo</w:t>
      </w:r>
      <w:proofErr w:type="spellEnd"/>
      <w:r w:rsidRPr="008D32BC">
        <w:rPr>
          <w:rFonts w:ascii="Times New Roman" w:hAnsi="Times New Roman" w:cs="Times New Roman"/>
          <w:sz w:val="22"/>
          <w:szCs w:val="22"/>
        </w:rPr>
        <w:t xml:space="preserve"> Fisher scientific) for </w:t>
      </w:r>
      <w:proofErr w:type="spellStart"/>
      <w:r w:rsidRPr="008D32BC">
        <w:rPr>
          <w:rFonts w:ascii="Times New Roman" w:hAnsi="Times New Roman" w:cs="Times New Roman"/>
          <w:sz w:val="22"/>
          <w:szCs w:val="22"/>
        </w:rPr>
        <w:t>immunofluoresence</w:t>
      </w:r>
      <w:proofErr w:type="spellEnd"/>
      <w:r w:rsidRPr="008D32BC">
        <w:rPr>
          <w:rFonts w:ascii="Times New Roman" w:hAnsi="Times New Roman" w:cs="Times New Roman"/>
          <w:sz w:val="22"/>
          <w:szCs w:val="22"/>
        </w:rPr>
        <w:t xml:space="preserve"> analysis. Stained cells were examined and </w:t>
      </w:r>
      <w:proofErr w:type="gramStart"/>
      <w:r w:rsidRPr="008D32BC">
        <w:rPr>
          <w:rFonts w:ascii="Times New Roman" w:hAnsi="Times New Roman" w:cs="Times New Roman"/>
          <w:sz w:val="22"/>
          <w:szCs w:val="22"/>
        </w:rPr>
        <w:t>recorded</w:t>
      </w:r>
      <w:proofErr w:type="gramEnd"/>
      <w:r w:rsidRPr="008D32BC">
        <w:rPr>
          <w:rFonts w:ascii="Times New Roman" w:hAnsi="Times New Roman" w:cs="Times New Roman"/>
          <w:sz w:val="22"/>
          <w:szCs w:val="22"/>
        </w:rPr>
        <w:t xml:space="preserve"> using EVOS FL fluorescence microscopy (</w:t>
      </w:r>
      <w:proofErr w:type="spellStart"/>
      <w:r w:rsidRPr="008D32BC">
        <w:rPr>
          <w:rFonts w:ascii="Times New Roman" w:hAnsi="Times New Roman" w:cs="Times New Roman"/>
          <w:sz w:val="22"/>
          <w:szCs w:val="22"/>
        </w:rPr>
        <w:t>Thermo</w:t>
      </w:r>
      <w:proofErr w:type="spellEnd"/>
      <w:r w:rsidRPr="008D32BC">
        <w:rPr>
          <w:rFonts w:ascii="Times New Roman" w:hAnsi="Times New Roman" w:cs="Times New Roman"/>
          <w:sz w:val="22"/>
          <w:szCs w:val="22"/>
        </w:rPr>
        <w:t xml:space="preserve"> Fisher scientific).</w:t>
      </w:r>
    </w:p>
    <w:p w:rsidR="00E81DF3" w:rsidRPr="008D32BC" w:rsidRDefault="00E81DF3" w:rsidP="00E81DF3">
      <w:pPr>
        <w:tabs>
          <w:tab w:val="left" w:pos="2880"/>
        </w:tabs>
        <w:spacing w:line="360" w:lineRule="auto"/>
        <w:rPr>
          <w:rFonts w:ascii="Times New Roman" w:hAnsi="Times New Roman" w:cs="Times New Roman"/>
          <w:b/>
          <w:sz w:val="22"/>
          <w:szCs w:val="22"/>
        </w:rPr>
      </w:pPr>
      <w:r w:rsidRPr="008D32BC">
        <w:rPr>
          <w:rFonts w:ascii="Times New Roman" w:hAnsi="Times New Roman" w:cs="Times New Roman"/>
          <w:b/>
          <w:sz w:val="22"/>
          <w:szCs w:val="22"/>
        </w:rPr>
        <w:t>Cell transfections</w:t>
      </w:r>
      <w:r w:rsidRPr="008D32BC">
        <w:rPr>
          <w:rFonts w:ascii="Times New Roman" w:hAnsi="Times New Roman" w:cs="Times New Roman"/>
          <w:b/>
          <w:sz w:val="22"/>
          <w:szCs w:val="22"/>
        </w:rPr>
        <w:tab/>
      </w:r>
    </w:p>
    <w:p w:rsidR="00E81DF3" w:rsidRPr="008D32BC" w:rsidRDefault="00E81DF3" w:rsidP="00E81DF3">
      <w:pPr>
        <w:spacing w:line="360" w:lineRule="auto"/>
        <w:ind w:firstLine="420"/>
        <w:rPr>
          <w:rFonts w:ascii="Times New Roman" w:hAnsi="Times New Roman" w:cs="Times New Roman"/>
          <w:sz w:val="22"/>
          <w:szCs w:val="22"/>
        </w:rPr>
      </w:pPr>
      <w:r w:rsidRPr="008D32BC">
        <w:rPr>
          <w:rFonts w:ascii="Times New Roman" w:hAnsi="Times New Roman" w:cs="Times New Roman"/>
          <w:sz w:val="22"/>
          <w:szCs w:val="22"/>
        </w:rPr>
        <w:t xml:space="preserve">The medium of peritoneal macrophages was replaced with serum-free, antibiotic-free DMEM prior to transfection. </w:t>
      </w:r>
      <w:proofErr w:type="spellStart"/>
      <w:r w:rsidRPr="008D32BC">
        <w:rPr>
          <w:rFonts w:ascii="Times New Roman" w:hAnsi="Times New Roman" w:cs="Times New Roman"/>
          <w:sz w:val="22"/>
          <w:szCs w:val="22"/>
        </w:rPr>
        <w:t>GeneJammer</w:t>
      </w:r>
      <w:proofErr w:type="spellEnd"/>
      <w:r w:rsidRPr="008D32BC">
        <w:rPr>
          <w:rFonts w:ascii="Times New Roman" w:hAnsi="Times New Roman" w:cs="Times New Roman"/>
          <w:sz w:val="22"/>
          <w:szCs w:val="22"/>
        </w:rPr>
        <w:t xml:space="preserve"> (Agilent Technologies) served as transfection reagent, and cells were transfected with 50nM small interfering RNA (siRNA) for integrin β5 (sc-35681, Santa Cruz). An unrelated, scramble small interfering RNA served as a control. Transfection efficiency was assessed 48 h </w:t>
      </w:r>
      <w:proofErr w:type="spellStart"/>
      <w:r w:rsidRPr="008D32BC">
        <w:rPr>
          <w:rFonts w:ascii="Times New Roman" w:hAnsi="Times New Roman" w:cs="Times New Roman"/>
          <w:sz w:val="22"/>
          <w:szCs w:val="22"/>
        </w:rPr>
        <w:t>posttransfection</w:t>
      </w:r>
      <w:proofErr w:type="spellEnd"/>
      <w:r w:rsidRPr="008D32BC">
        <w:rPr>
          <w:rFonts w:ascii="Times New Roman" w:hAnsi="Times New Roman" w:cs="Times New Roman"/>
          <w:sz w:val="22"/>
          <w:szCs w:val="22"/>
        </w:rPr>
        <w:t xml:space="preserve">. </w:t>
      </w:r>
    </w:p>
    <w:p w:rsidR="00E81DF3" w:rsidRPr="008D32BC" w:rsidRDefault="00E81DF3" w:rsidP="00E81DF3">
      <w:pPr>
        <w:spacing w:line="360" w:lineRule="auto"/>
        <w:rPr>
          <w:rFonts w:ascii="Times New Roman" w:hAnsi="Times New Roman" w:cs="Times New Roman"/>
          <w:sz w:val="22"/>
          <w:szCs w:val="22"/>
        </w:rPr>
      </w:pPr>
    </w:p>
    <w:p w:rsidR="00E81DF3" w:rsidRDefault="00E81DF3" w:rsidP="00E81DF3">
      <w:pPr>
        <w:spacing w:line="360" w:lineRule="auto"/>
        <w:jc w:val="left"/>
        <w:rPr>
          <w:rFonts w:ascii="Times New Roman" w:hAnsi="Times New Roman" w:cs="Times New Roman"/>
          <w:sz w:val="22"/>
          <w:szCs w:val="22"/>
        </w:rPr>
      </w:pPr>
    </w:p>
    <w:p w:rsidR="00E81DF3" w:rsidRPr="008D32BC" w:rsidRDefault="00E81DF3" w:rsidP="00E81DF3">
      <w:pPr>
        <w:spacing w:line="360" w:lineRule="auto"/>
        <w:jc w:val="left"/>
        <w:rPr>
          <w:rFonts w:ascii="Times New Roman" w:hAnsi="Times New Roman" w:cs="Times New Roman"/>
          <w:b/>
          <w:sz w:val="22"/>
          <w:szCs w:val="22"/>
        </w:rPr>
      </w:pPr>
      <w:r w:rsidRPr="008D32BC">
        <w:rPr>
          <w:rFonts w:ascii="Times New Roman" w:hAnsi="Times New Roman" w:cs="Times New Roman"/>
          <w:b/>
          <w:sz w:val="22"/>
          <w:szCs w:val="22"/>
        </w:rPr>
        <w:t>Reagents:</w:t>
      </w:r>
    </w:p>
    <w:p w:rsidR="00E81DF3" w:rsidRPr="00334CB3" w:rsidRDefault="00E81DF3" w:rsidP="00E81DF3">
      <w:pPr>
        <w:spacing w:line="360" w:lineRule="auto"/>
        <w:jc w:val="left"/>
        <w:rPr>
          <w:rFonts w:ascii="Times New Roman" w:hAnsi="Times New Roman" w:cs="Times New Roman"/>
          <w:sz w:val="22"/>
          <w:szCs w:val="22"/>
        </w:rPr>
      </w:pPr>
      <w:r w:rsidRPr="00334CB3">
        <w:rPr>
          <w:rFonts w:ascii="Times New Roman" w:hAnsi="Times New Roman" w:cs="Times New Roman"/>
          <w:sz w:val="22"/>
          <w:szCs w:val="22"/>
        </w:rPr>
        <w:t>Ultrapure LPS (</w:t>
      </w:r>
      <w:r w:rsidRPr="00334CB3">
        <w:rPr>
          <w:rFonts w:ascii="Times New Roman" w:hAnsi="Times New Roman" w:cs="Times New Roman"/>
          <w:i/>
          <w:sz w:val="22"/>
          <w:szCs w:val="22"/>
        </w:rPr>
        <w:t>Escherichia coli</w:t>
      </w:r>
      <w:r w:rsidRPr="00334CB3">
        <w:rPr>
          <w:rFonts w:ascii="Times New Roman" w:hAnsi="Times New Roman" w:cs="Times New Roman"/>
          <w:sz w:val="22"/>
          <w:szCs w:val="22"/>
        </w:rPr>
        <w:t xml:space="preserve"> 0111:B4) was from List Biological Laboratories (</w:t>
      </w:r>
      <w:proofErr w:type="spellStart"/>
      <w:r w:rsidRPr="00334CB3">
        <w:rPr>
          <w:rFonts w:ascii="Times New Roman" w:hAnsi="Times New Roman" w:cs="Times New Roman"/>
          <w:sz w:val="22"/>
          <w:szCs w:val="22"/>
        </w:rPr>
        <w:t>Vandell</w:t>
      </w:r>
      <w:proofErr w:type="spellEnd"/>
      <w:r w:rsidRPr="00334CB3">
        <w:rPr>
          <w:rFonts w:ascii="Times New Roman" w:hAnsi="Times New Roman" w:cs="Times New Roman"/>
          <w:sz w:val="22"/>
          <w:szCs w:val="22"/>
        </w:rPr>
        <w:t xml:space="preserve"> Way, CA). This LPS is free of contaminating proteins that could stimulate TLR2 nonspecifically. Anti-integrinβ5 (ab15459), anti-beta actin (ab6276), anti-WISP1 (ab178547) were from </w:t>
      </w:r>
      <w:proofErr w:type="spellStart"/>
      <w:r w:rsidRPr="00334CB3">
        <w:rPr>
          <w:rFonts w:ascii="Times New Roman" w:hAnsi="Times New Roman" w:cs="Times New Roman"/>
          <w:sz w:val="22"/>
          <w:szCs w:val="22"/>
        </w:rPr>
        <w:t>Abcam</w:t>
      </w:r>
      <w:proofErr w:type="spellEnd"/>
      <w:r w:rsidRPr="00334CB3">
        <w:rPr>
          <w:rFonts w:ascii="Times New Roman" w:hAnsi="Times New Roman" w:cs="Times New Roman"/>
          <w:sz w:val="22"/>
          <w:szCs w:val="22"/>
        </w:rPr>
        <w:t xml:space="preserve"> (Cambridge, MA 02139, USA); anti-</w:t>
      </w:r>
      <w:proofErr w:type="spellStart"/>
      <w:r w:rsidRPr="00334CB3">
        <w:rPr>
          <w:rFonts w:ascii="Times New Roman" w:hAnsi="Times New Roman" w:cs="Times New Roman"/>
          <w:sz w:val="22"/>
          <w:szCs w:val="22"/>
        </w:rPr>
        <w:t>phospho</w:t>
      </w:r>
      <w:proofErr w:type="spellEnd"/>
      <w:r w:rsidRPr="00334CB3">
        <w:rPr>
          <w:rFonts w:ascii="Times New Roman" w:hAnsi="Times New Roman" w:cs="Times New Roman"/>
          <w:sz w:val="22"/>
          <w:szCs w:val="22"/>
        </w:rPr>
        <w:t xml:space="preserve">-SAPK/JNK (Thr183/Tyr185) (81E11), anti-SAPK/JNK, anti-phospho-p38 MAPK (Thr180/Tyr182) (D3F9), anti-p38 MAPK (D13E1), anti-phospho-p44/42 MAPK (Erk1/2) (Thr202/Tyr204) (20G11), anti-p44/p42 MAPK (Erk1/2) (137F5) were from Cell Signaling Technology (Danvers, MA 01923, USA); anti-integrinβ5 (E-19): sc-5401, anti-WISP1 (V-19): sc-8866 were from Santa Cruz Biotechnology (Santa Cruz, CA 95060, USA); mouse lung dissociation kit was from </w:t>
      </w:r>
      <w:proofErr w:type="spellStart"/>
      <w:r w:rsidRPr="00334CB3">
        <w:rPr>
          <w:rFonts w:ascii="Times New Roman" w:hAnsi="Times New Roman" w:cs="Times New Roman"/>
          <w:sz w:val="22"/>
          <w:szCs w:val="22"/>
        </w:rPr>
        <w:t>Miltenyi</w:t>
      </w:r>
      <w:proofErr w:type="spellEnd"/>
      <w:r w:rsidRPr="00334CB3">
        <w:rPr>
          <w:rFonts w:ascii="Times New Roman" w:hAnsi="Times New Roman" w:cs="Times New Roman"/>
          <w:sz w:val="22"/>
          <w:szCs w:val="22"/>
        </w:rPr>
        <w:t xml:space="preserve"> </w:t>
      </w:r>
      <w:proofErr w:type="spellStart"/>
      <w:r w:rsidRPr="00334CB3">
        <w:rPr>
          <w:rFonts w:ascii="Times New Roman" w:hAnsi="Times New Roman" w:cs="Times New Roman"/>
          <w:sz w:val="22"/>
          <w:szCs w:val="22"/>
        </w:rPr>
        <w:t>Biotec</w:t>
      </w:r>
      <w:proofErr w:type="spellEnd"/>
      <w:r w:rsidRPr="00334CB3">
        <w:rPr>
          <w:rFonts w:ascii="Times New Roman" w:hAnsi="Times New Roman" w:cs="Times New Roman"/>
          <w:sz w:val="22"/>
          <w:szCs w:val="22"/>
        </w:rPr>
        <w:t xml:space="preserve">; Fixable Viability Dye </w:t>
      </w:r>
      <w:proofErr w:type="spellStart"/>
      <w:r w:rsidRPr="00334CB3">
        <w:rPr>
          <w:rFonts w:ascii="Times New Roman" w:hAnsi="Times New Roman" w:cs="Times New Roman"/>
          <w:sz w:val="22"/>
          <w:szCs w:val="22"/>
        </w:rPr>
        <w:t>eFluor</w:t>
      </w:r>
      <w:proofErr w:type="spellEnd"/>
      <w:r w:rsidRPr="00334CB3">
        <w:rPr>
          <w:rFonts w:ascii="Times New Roman" w:hAnsi="Times New Roman" w:cs="Times New Roman"/>
          <w:sz w:val="22"/>
          <w:szCs w:val="22"/>
        </w:rPr>
        <w:t xml:space="preserve">® 506; anti-mouse CD45 PerCP-Cy5.5; anti-mouse CD11b FITC; anti-mouse Ly6G (Gr-1) APC were from </w:t>
      </w:r>
      <w:proofErr w:type="spellStart"/>
      <w:r w:rsidRPr="00334CB3">
        <w:rPr>
          <w:rFonts w:ascii="Times New Roman" w:hAnsi="Times New Roman" w:cs="Times New Roman"/>
          <w:sz w:val="22"/>
          <w:szCs w:val="22"/>
        </w:rPr>
        <w:t>eBioscience</w:t>
      </w:r>
      <w:proofErr w:type="spellEnd"/>
      <w:r w:rsidRPr="00334CB3">
        <w:rPr>
          <w:rFonts w:ascii="Times New Roman" w:hAnsi="Times New Roman" w:cs="Times New Roman"/>
          <w:sz w:val="22"/>
          <w:szCs w:val="22"/>
        </w:rPr>
        <w:t>; Evans blue was from Sigma-</w:t>
      </w:r>
      <w:proofErr w:type="spellStart"/>
      <w:r w:rsidRPr="00334CB3">
        <w:rPr>
          <w:rFonts w:ascii="Times New Roman" w:hAnsi="Times New Roman" w:cs="Times New Roman"/>
          <w:sz w:val="22"/>
          <w:szCs w:val="22"/>
        </w:rPr>
        <w:t>Akdrich</w:t>
      </w:r>
      <w:proofErr w:type="spellEnd"/>
      <w:r w:rsidRPr="00334CB3">
        <w:rPr>
          <w:rFonts w:ascii="Times New Roman" w:hAnsi="Times New Roman" w:cs="Times New Roman"/>
          <w:sz w:val="22"/>
          <w:szCs w:val="22"/>
        </w:rPr>
        <w:t>.</w:t>
      </w:r>
    </w:p>
    <w:p w:rsidR="00E81DF3" w:rsidRPr="00334CB3" w:rsidRDefault="00E81DF3" w:rsidP="00E81DF3">
      <w:pPr>
        <w:spacing w:line="360" w:lineRule="auto"/>
        <w:jc w:val="left"/>
        <w:rPr>
          <w:rFonts w:ascii="Times New Roman" w:hAnsi="Times New Roman" w:cs="Times New Roman"/>
          <w:b/>
          <w:sz w:val="22"/>
          <w:szCs w:val="22"/>
        </w:rPr>
      </w:pPr>
    </w:p>
    <w:p w:rsidR="002241B9" w:rsidRPr="00E81DF3" w:rsidRDefault="002241B9">
      <w:pPr>
        <w:rPr>
          <w:rFonts w:ascii="Times New Roman" w:hAnsi="Times New Roman" w:cs="Times New Roman"/>
        </w:rPr>
      </w:pPr>
    </w:p>
    <w:sectPr w:rsidR="002241B9" w:rsidRPr="00E81DF3" w:rsidSect="003F19B8">
      <w:footerReference w:type="default" r:id="rId7"/>
      <w:pgSz w:w="11906" w:h="16838"/>
      <w:pgMar w:top="1440" w:right="1417" w:bottom="1440" w:left="1417" w:header="850" w:footer="994"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3227E">
      <w:r>
        <w:separator/>
      </w:r>
    </w:p>
  </w:endnote>
  <w:endnote w:type="continuationSeparator" w:id="0">
    <w:p w:rsidR="00000000" w:rsidRDefault="00C3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960798"/>
      <w:docPartObj>
        <w:docPartGallery w:val="Page Numbers (Bottom of Page)"/>
        <w:docPartUnique/>
      </w:docPartObj>
    </w:sdtPr>
    <w:sdtEndPr/>
    <w:sdtContent>
      <w:p w:rsidR="0073693B" w:rsidRDefault="00E81DF3">
        <w:pPr>
          <w:pStyle w:val="Footer"/>
          <w:jc w:val="center"/>
        </w:pPr>
        <w:r>
          <w:fldChar w:fldCharType="begin"/>
        </w:r>
        <w:r>
          <w:instrText>PAGE   \* MERGEFORMAT</w:instrText>
        </w:r>
        <w:r>
          <w:fldChar w:fldCharType="separate"/>
        </w:r>
        <w:r w:rsidR="00C3227E" w:rsidRPr="00C3227E">
          <w:rPr>
            <w:noProof/>
            <w:lang w:val="zh-CN"/>
          </w:rPr>
          <w:t>1</w:t>
        </w:r>
        <w:r>
          <w:fldChar w:fldCharType="end"/>
        </w:r>
      </w:p>
    </w:sdtContent>
  </w:sdt>
  <w:p w:rsidR="0073693B" w:rsidRDefault="00C32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3227E">
      <w:r>
        <w:separator/>
      </w:r>
    </w:p>
  </w:footnote>
  <w:footnote w:type="continuationSeparator" w:id="0">
    <w:p w:rsidR="00000000" w:rsidRDefault="00C32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DF3"/>
    <w:rsid w:val="002241B9"/>
    <w:rsid w:val="00C3227E"/>
    <w:rsid w:val="00E8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DF3"/>
    <w:pPr>
      <w:widowControl w:val="0"/>
      <w:spacing w:after="0" w:line="240" w:lineRule="auto"/>
      <w:jc w:val="both"/>
    </w:pPr>
    <w:rPr>
      <w:rFonts w:eastAsiaTheme="minorEastAsia"/>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1DF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81DF3"/>
    <w:rPr>
      <w:rFonts w:eastAsiaTheme="minorEastAsia"/>
      <w:kern w:val="2"/>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DF3"/>
    <w:pPr>
      <w:widowControl w:val="0"/>
      <w:spacing w:after="0" w:line="240" w:lineRule="auto"/>
      <w:jc w:val="both"/>
    </w:pPr>
    <w:rPr>
      <w:rFonts w:eastAsiaTheme="minorEastAsia"/>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1DF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81DF3"/>
    <w:rPr>
      <w:rFonts w:eastAsiaTheme="minorEastAsia"/>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Pittsburgh</Company>
  <LinksUpToDate>false</LinksUpToDate>
  <CharactersWithSpaces>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Pitt</dc:creator>
  <cp:lastModifiedBy>Bruce Pitt</cp:lastModifiedBy>
  <cp:revision>2</cp:revision>
  <dcterms:created xsi:type="dcterms:W3CDTF">2018-09-27T01:09:00Z</dcterms:created>
  <dcterms:modified xsi:type="dcterms:W3CDTF">2018-09-27T01:09:00Z</dcterms:modified>
</cp:coreProperties>
</file>