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7FB1" w14:textId="0A79A9EF" w:rsidR="00B83A20" w:rsidRPr="00761BAD" w:rsidRDefault="00B83A20" w:rsidP="00B83A20">
      <w:pPr>
        <w:spacing w:line="480" w:lineRule="auto"/>
        <w:rPr>
          <w:rFonts w:eastAsia="MS Mincho"/>
          <w:b/>
          <w:sz w:val="22"/>
          <w:szCs w:val="22"/>
          <w:lang w:val="en-US"/>
        </w:rPr>
      </w:pPr>
      <w:r w:rsidRPr="00761BAD">
        <w:rPr>
          <w:rFonts w:eastAsia="MS Mincho"/>
          <w:b/>
          <w:sz w:val="22"/>
          <w:szCs w:val="22"/>
          <w:lang w:val="en-US"/>
        </w:rPr>
        <w:t xml:space="preserve">Population pharmacokinetics of tigecycline in critically ill patients on </w:t>
      </w:r>
      <w:r>
        <w:rPr>
          <w:rFonts w:eastAsia="MS Mincho"/>
          <w:b/>
          <w:sz w:val="22"/>
          <w:szCs w:val="22"/>
          <w:lang w:val="en-US"/>
        </w:rPr>
        <w:t xml:space="preserve">continuous </w:t>
      </w:r>
      <w:r w:rsidRPr="00761BAD">
        <w:rPr>
          <w:rFonts w:eastAsia="MS Mincho"/>
          <w:b/>
          <w:sz w:val="22"/>
          <w:szCs w:val="22"/>
          <w:lang w:val="en-US"/>
        </w:rPr>
        <w:t>renal replacement therapy</w:t>
      </w:r>
    </w:p>
    <w:p w14:paraId="59B37607" w14:textId="77777777" w:rsidR="00B83A20" w:rsidRPr="00B42F78" w:rsidRDefault="00B83A20" w:rsidP="00B83A20">
      <w:pPr>
        <w:spacing w:line="480" w:lineRule="auto"/>
        <w:rPr>
          <w:rFonts w:eastAsia="MS Mincho"/>
          <w:b/>
          <w:sz w:val="22"/>
          <w:szCs w:val="22"/>
        </w:rPr>
      </w:pPr>
      <w:r w:rsidRPr="00B42F78">
        <w:rPr>
          <w:rFonts w:eastAsia="MS Mincho"/>
          <w:b/>
          <w:sz w:val="22"/>
          <w:szCs w:val="22"/>
        </w:rPr>
        <w:t>Authors:</w:t>
      </w:r>
    </w:p>
    <w:p w14:paraId="54C3C462" w14:textId="77777777" w:rsidR="00B83A20" w:rsidRPr="0068309C" w:rsidRDefault="00B83A20" w:rsidP="00B83A20">
      <w:pPr>
        <w:spacing w:line="480" w:lineRule="auto"/>
        <w:rPr>
          <w:rFonts w:eastAsia="MS Mincho"/>
          <w:sz w:val="22"/>
          <w:szCs w:val="22"/>
        </w:rPr>
      </w:pPr>
      <w:r w:rsidRPr="00761BAD">
        <w:rPr>
          <w:rFonts w:eastAsia="MS Mincho"/>
          <w:sz w:val="22"/>
          <w:szCs w:val="22"/>
        </w:rPr>
        <w:t>A. Bröker</w:t>
      </w:r>
      <w:r w:rsidRPr="00761BAD">
        <w:rPr>
          <w:rFonts w:eastAsia="MS Mincho"/>
          <w:sz w:val="22"/>
          <w:szCs w:val="22"/>
          <w:vertAlign w:val="superscript"/>
        </w:rPr>
        <w:t>1</w:t>
      </w:r>
      <w:r w:rsidRPr="00761BAD">
        <w:rPr>
          <w:rFonts w:eastAsia="MS Mincho"/>
          <w:sz w:val="22"/>
          <w:szCs w:val="22"/>
        </w:rPr>
        <w:t>, S.G. Wicha</w:t>
      </w:r>
      <w:r w:rsidRPr="00761BAD">
        <w:rPr>
          <w:rFonts w:eastAsia="MS Mincho"/>
          <w:sz w:val="22"/>
          <w:szCs w:val="22"/>
          <w:vertAlign w:val="superscript"/>
        </w:rPr>
        <w:t>1</w:t>
      </w:r>
      <w:r>
        <w:rPr>
          <w:rFonts w:eastAsia="MS Mincho"/>
          <w:sz w:val="22"/>
          <w:szCs w:val="22"/>
        </w:rPr>
        <w:t>, C. Dorn</w:t>
      </w:r>
      <w:r w:rsidRPr="00B54248">
        <w:rPr>
          <w:rFonts w:eastAsia="MS Mincho"/>
          <w:sz w:val="22"/>
          <w:szCs w:val="22"/>
          <w:vertAlign w:val="superscript"/>
        </w:rPr>
        <w:t>2</w:t>
      </w:r>
      <w:r>
        <w:rPr>
          <w:rFonts w:eastAsia="MS Mincho"/>
          <w:sz w:val="22"/>
          <w:szCs w:val="22"/>
        </w:rPr>
        <w:t>, A. Kratzer</w:t>
      </w:r>
      <w:r w:rsidRPr="00B54248">
        <w:rPr>
          <w:rFonts w:eastAsia="MS Mincho"/>
          <w:sz w:val="22"/>
          <w:szCs w:val="22"/>
          <w:vertAlign w:val="superscript"/>
        </w:rPr>
        <w:t>3</w:t>
      </w:r>
      <w:r>
        <w:rPr>
          <w:rFonts w:eastAsia="MS Mincho"/>
          <w:sz w:val="22"/>
          <w:szCs w:val="22"/>
        </w:rPr>
        <w:t>, M. Schleibinger</w:t>
      </w:r>
      <w:r w:rsidRPr="00B54248">
        <w:rPr>
          <w:rFonts w:eastAsia="MS Mincho"/>
          <w:sz w:val="22"/>
          <w:szCs w:val="22"/>
          <w:vertAlign w:val="superscript"/>
        </w:rPr>
        <w:t>4</w:t>
      </w:r>
      <w:r>
        <w:rPr>
          <w:rFonts w:eastAsia="MS Mincho"/>
          <w:sz w:val="22"/>
          <w:szCs w:val="22"/>
        </w:rPr>
        <w:t>, F. Kees</w:t>
      </w:r>
      <w:r w:rsidRPr="00B54248">
        <w:rPr>
          <w:rFonts w:eastAsia="MS Mincho"/>
          <w:sz w:val="22"/>
          <w:szCs w:val="22"/>
          <w:vertAlign w:val="superscript"/>
        </w:rPr>
        <w:t>5</w:t>
      </w:r>
      <w:r>
        <w:rPr>
          <w:rFonts w:eastAsia="MS Mincho"/>
          <w:sz w:val="22"/>
          <w:szCs w:val="22"/>
        </w:rPr>
        <w:t>, A. Heininger</w:t>
      </w:r>
      <w:r w:rsidRPr="00EE48B1">
        <w:rPr>
          <w:rFonts w:eastAsia="MS Mincho"/>
          <w:sz w:val="22"/>
          <w:szCs w:val="22"/>
          <w:vertAlign w:val="superscript"/>
        </w:rPr>
        <w:t>6</w:t>
      </w:r>
      <w:r>
        <w:rPr>
          <w:rFonts w:eastAsia="MS Mincho"/>
          <w:sz w:val="22"/>
          <w:szCs w:val="22"/>
        </w:rPr>
        <w:t>, M.G. Kees</w:t>
      </w:r>
      <w:r>
        <w:rPr>
          <w:rFonts w:eastAsia="MS Mincho"/>
          <w:sz w:val="22"/>
          <w:szCs w:val="22"/>
          <w:vertAlign w:val="superscript"/>
        </w:rPr>
        <w:t>7</w:t>
      </w:r>
      <w:r>
        <w:rPr>
          <w:rFonts w:eastAsia="MS Mincho"/>
          <w:sz w:val="22"/>
          <w:szCs w:val="22"/>
        </w:rPr>
        <w:t>, H. Häberle</w:t>
      </w:r>
      <w:r>
        <w:rPr>
          <w:rFonts w:eastAsia="MS Mincho"/>
          <w:sz w:val="22"/>
          <w:szCs w:val="22"/>
          <w:vertAlign w:val="superscript"/>
        </w:rPr>
        <w:t>8</w:t>
      </w:r>
    </w:p>
    <w:p w14:paraId="7551B545" w14:textId="77777777" w:rsidR="00B83A20" w:rsidRPr="002F5EAF" w:rsidRDefault="00B83A20" w:rsidP="00B83A20">
      <w:pPr>
        <w:spacing w:line="480" w:lineRule="auto"/>
        <w:rPr>
          <w:rFonts w:eastAsia="MS Mincho"/>
          <w:sz w:val="22"/>
          <w:szCs w:val="22"/>
        </w:rPr>
      </w:pPr>
    </w:p>
    <w:p w14:paraId="5AA417D1" w14:textId="77777777" w:rsidR="00B83A20" w:rsidRPr="00B42F78" w:rsidRDefault="00B83A20" w:rsidP="00B83A20">
      <w:pPr>
        <w:spacing w:line="480" w:lineRule="auto"/>
        <w:rPr>
          <w:rFonts w:eastAsia="MS Mincho"/>
          <w:b/>
          <w:sz w:val="22"/>
          <w:szCs w:val="22"/>
          <w:lang w:val="en-US"/>
        </w:rPr>
      </w:pPr>
      <w:r w:rsidRPr="00B42F78">
        <w:rPr>
          <w:rFonts w:eastAsia="MS Mincho"/>
          <w:b/>
          <w:sz w:val="22"/>
          <w:szCs w:val="22"/>
          <w:lang w:val="en-US"/>
        </w:rPr>
        <w:t>Affiliations:</w:t>
      </w:r>
    </w:p>
    <w:p w14:paraId="6432A196" w14:textId="77777777" w:rsidR="00B83A20" w:rsidRDefault="00B83A20" w:rsidP="00B83A20">
      <w:pPr>
        <w:spacing w:line="480" w:lineRule="auto"/>
        <w:rPr>
          <w:rFonts w:eastAsia="MS Mincho"/>
          <w:sz w:val="22"/>
          <w:szCs w:val="22"/>
          <w:lang w:val="en-US"/>
        </w:rPr>
      </w:pPr>
      <w:r w:rsidRPr="00761BAD">
        <w:rPr>
          <w:rFonts w:eastAsia="MS Mincho"/>
          <w:sz w:val="22"/>
          <w:szCs w:val="22"/>
          <w:vertAlign w:val="superscript"/>
          <w:lang w:val="en-US"/>
        </w:rPr>
        <w:t>1</w:t>
      </w:r>
      <w:r w:rsidRPr="00761BAD">
        <w:rPr>
          <w:rFonts w:eastAsia="MS Mincho"/>
          <w:sz w:val="22"/>
          <w:szCs w:val="22"/>
          <w:lang w:val="en-US"/>
        </w:rPr>
        <w:t>Dep</w:t>
      </w:r>
      <w:r>
        <w:rPr>
          <w:rFonts w:eastAsia="MS Mincho"/>
          <w:sz w:val="22"/>
          <w:szCs w:val="22"/>
          <w:lang w:val="en-US"/>
        </w:rPr>
        <w:t>artmen</w:t>
      </w:r>
      <w:r w:rsidRPr="00761BAD">
        <w:rPr>
          <w:rFonts w:eastAsia="MS Mincho"/>
          <w:sz w:val="22"/>
          <w:szCs w:val="22"/>
          <w:lang w:val="en-US"/>
        </w:rPr>
        <w:t xml:space="preserve">t of Clinical Pharmacy, Institute of Pharmacy, University of Hamburg, Bundesstr. 45, 20146 Hamburg, </w:t>
      </w:r>
      <w:r w:rsidRPr="00761BAD">
        <w:rPr>
          <w:rFonts w:eastAsia="MS Mincho"/>
          <w:sz w:val="22"/>
          <w:szCs w:val="22"/>
          <w:lang w:val="en-US"/>
        </w:rPr>
        <w:t>Germany</w:t>
      </w:r>
    </w:p>
    <w:p w14:paraId="056DF095" w14:textId="7E14EE66" w:rsidR="00B83A20" w:rsidRPr="007E2C1E" w:rsidRDefault="00B83A20" w:rsidP="00B83A20">
      <w:pPr>
        <w:spacing w:line="480" w:lineRule="auto"/>
        <w:rPr>
          <w:rFonts w:eastAsia="MS Mincho"/>
          <w:sz w:val="22"/>
          <w:szCs w:val="22"/>
          <w:lang w:val="en-US"/>
        </w:rPr>
      </w:pPr>
      <w:r w:rsidRPr="00B54248">
        <w:rPr>
          <w:rFonts w:eastAsia="MS Mincho"/>
          <w:sz w:val="22"/>
          <w:szCs w:val="22"/>
          <w:vertAlign w:val="superscript"/>
          <w:lang w:val="en-US"/>
        </w:rPr>
        <w:t>2</w:t>
      </w:r>
      <w:r w:rsidR="0004385E" w:rsidRPr="00761BAD">
        <w:rPr>
          <w:rFonts w:eastAsia="MS Mincho"/>
          <w:sz w:val="22"/>
          <w:szCs w:val="22"/>
          <w:lang w:val="en-US"/>
        </w:rPr>
        <w:t>Institute of Pharmacy</w:t>
      </w:r>
      <w:r>
        <w:rPr>
          <w:rFonts w:eastAsia="MS Mincho"/>
          <w:sz w:val="22"/>
          <w:szCs w:val="22"/>
          <w:lang w:val="en-US"/>
        </w:rPr>
        <w:t xml:space="preserve">, University of Regensburg, Universitätstr. </w:t>
      </w:r>
      <w:r w:rsidRPr="007E2C1E">
        <w:rPr>
          <w:rFonts w:eastAsia="MS Mincho"/>
          <w:sz w:val="22"/>
          <w:szCs w:val="22"/>
          <w:lang w:val="en-US"/>
        </w:rPr>
        <w:t>31, 93053 Regensburg, Germany</w:t>
      </w:r>
    </w:p>
    <w:p w14:paraId="65B3259F" w14:textId="77777777" w:rsidR="00B83A20" w:rsidRPr="001A1322" w:rsidRDefault="00B83A20" w:rsidP="00B83A20">
      <w:pPr>
        <w:spacing w:line="480" w:lineRule="auto"/>
        <w:rPr>
          <w:rFonts w:eastAsia="MS Mincho"/>
          <w:sz w:val="22"/>
          <w:szCs w:val="22"/>
        </w:rPr>
      </w:pPr>
      <w:r w:rsidRPr="001A1322">
        <w:rPr>
          <w:rFonts w:eastAsia="MS Mincho"/>
          <w:sz w:val="22"/>
          <w:szCs w:val="22"/>
          <w:vertAlign w:val="superscript"/>
        </w:rPr>
        <w:t>3</w:t>
      </w:r>
      <w:r w:rsidRPr="001A1322">
        <w:rPr>
          <w:rFonts w:eastAsia="MS Mincho"/>
          <w:sz w:val="22"/>
          <w:szCs w:val="22"/>
        </w:rPr>
        <w:t>Hospital Pharmacy, University Hospital Regensburg, Franz-Josef-Strauß-Allee 11, 93053 Regensburg, Germany</w:t>
      </w:r>
    </w:p>
    <w:p w14:paraId="24B72605" w14:textId="77777777" w:rsidR="00B83A20" w:rsidRPr="001A1322" w:rsidRDefault="00B83A20" w:rsidP="00B83A20">
      <w:pPr>
        <w:spacing w:line="480" w:lineRule="auto"/>
        <w:rPr>
          <w:rFonts w:eastAsia="MS Mincho"/>
          <w:sz w:val="22"/>
          <w:szCs w:val="22"/>
          <w:lang w:val="en-US"/>
        </w:rPr>
      </w:pPr>
      <w:r w:rsidRPr="00B42F78">
        <w:rPr>
          <w:rFonts w:eastAsia="MS Mincho"/>
          <w:sz w:val="22"/>
          <w:szCs w:val="22"/>
          <w:vertAlign w:val="superscript"/>
          <w:lang w:val="en-US"/>
        </w:rPr>
        <w:t>4</w:t>
      </w:r>
      <w:r>
        <w:rPr>
          <w:rFonts w:eastAsia="MS Mincho"/>
          <w:sz w:val="22"/>
          <w:szCs w:val="22"/>
          <w:lang w:val="en-US"/>
        </w:rPr>
        <w:t xml:space="preserve">Department of Orthopaedics and Trauma, Hospital Ingolstadt, </w:t>
      </w:r>
      <w:r w:rsidRPr="001A1322">
        <w:rPr>
          <w:rFonts w:eastAsia="MS Mincho"/>
          <w:sz w:val="22"/>
          <w:szCs w:val="22"/>
          <w:lang w:val="en-US"/>
        </w:rPr>
        <w:t>Krumenauerstraße 25, 85049 Ingolstadt, Germany</w:t>
      </w:r>
    </w:p>
    <w:p w14:paraId="213A5ED1" w14:textId="77777777" w:rsidR="00B83A20" w:rsidRDefault="00B83A20" w:rsidP="00B83A20">
      <w:pPr>
        <w:spacing w:line="480" w:lineRule="auto"/>
        <w:rPr>
          <w:rFonts w:eastAsia="MS Mincho"/>
          <w:sz w:val="22"/>
          <w:szCs w:val="22"/>
          <w:lang w:val="en-US"/>
        </w:rPr>
      </w:pPr>
      <w:r w:rsidRPr="00EE48B1">
        <w:rPr>
          <w:rFonts w:eastAsia="MS Mincho"/>
          <w:sz w:val="22"/>
          <w:szCs w:val="22"/>
          <w:vertAlign w:val="superscript"/>
          <w:lang w:val="en-US"/>
        </w:rPr>
        <w:t>5</w:t>
      </w:r>
      <w:r>
        <w:rPr>
          <w:rFonts w:eastAsia="MS Mincho"/>
          <w:sz w:val="22"/>
          <w:szCs w:val="22"/>
          <w:lang w:val="en-US"/>
        </w:rPr>
        <w:t>Department of Pharmacology and Toxicology, University of Regensburg, Universitätsstr. 31, 93053 Regensburg, Germany</w:t>
      </w:r>
    </w:p>
    <w:p w14:paraId="575438F6" w14:textId="77777777" w:rsidR="00B83A20" w:rsidRPr="001A1322" w:rsidRDefault="00B83A20" w:rsidP="00B83A20">
      <w:pPr>
        <w:spacing w:line="480" w:lineRule="auto"/>
        <w:rPr>
          <w:rFonts w:eastAsia="MS Mincho"/>
          <w:sz w:val="22"/>
          <w:szCs w:val="22"/>
          <w:lang w:val="en-US"/>
        </w:rPr>
      </w:pPr>
      <w:r w:rsidRPr="00EE48B1">
        <w:rPr>
          <w:rFonts w:eastAsia="MS Mincho"/>
          <w:sz w:val="22"/>
          <w:szCs w:val="22"/>
          <w:vertAlign w:val="superscript"/>
          <w:lang w:val="en-US"/>
        </w:rPr>
        <w:t>6</w:t>
      </w:r>
      <w:r w:rsidRPr="001A1322">
        <w:rPr>
          <w:rFonts w:eastAsia="MS Mincho"/>
          <w:sz w:val="22"/>
          <w:szCs w:val="22"/>
          <w:lang w:val="en-US"/>
        </w:rPr>
        <w:t xml:space="preserve">Department of Infectious Diseases, Medical Microbiology and Hygiene, </w:t>
      </w:r>
      <w:r w:rsidRPr="001A1322">
        <w:rPr>
          <w:rFonts w:eastAsia="MS Mincho"/>
          <w:sz w:val="22"/>
          <w:szCs w:val="22"/>
          <w:lang w:val="en-US"/>
        </w:rPr>
        <w:t>Division Hospital and Environmental Hygiene, Heidelberg University Hospital, Im Neuenheimer Feld 324, 69120, Heidelberg, Germany</w:t>
      </w:r>
    </w:p>
    <w:p w14:paraId="551A28AE" w14:textId="77777777" w:rsidR="00B83A20" w:rsidRPr="00761BAD" w:rsidRDefault="00B83A20" w:rsidP="00B83A20">
      <w:pPr>
        <w:spacing w:line="480" w:lineRule="auto"/>
        <w:rPr>
          <w:rFonts w:eastAsia="MS Mincho"/>
          <w:sz w:val="22"/>
          <w:szCs w:val="22"/>
          <w:lang w:val="en-US"/>
        </w:rPr>
      </w:pPr>
      <w:r>
        <w:rPr>
          <w:rFonts w:eastAsia="MS Mincho"/>
          <w:sz w:val="22"/>
          <w:szCs w:val="22"/>
          <w:vertAlign w:val="superscript"/>
          <w:lang w:val="en-US"/>
        </w:rPr>
        <w:t>7</w:t>
      </w:r>
      <w:r>
        <w:rPr>
          <w:rFonts w:eastAsia="MS Mincho"/>
          <w:sz w:val="22"/>
          <w:szCs w:val="22"/>
          <w:lang w:val="en-US"/>
        </w:rPr>
        <w:t>Department of Anesthesiology, University Hospital Regensburg, Franz-Josef-Strauß-Allee 11, 93053 Regensburg, Germany</w:t>
      </w:r>
    </w:p>
    <w:p w14:paraId="679789F4" w14:textId="77777777" w:rsidR="00B83A20" w:rsidRDefault="00B83A20" w:rsidP="00B83A20">
      <w:pPr>
        <w:spacing w:line="480" w:lineRule="auto"/>
        <w:rPr>
          <w:rFonts w:eastAsia="MS Mincho"/>
          <w:sz w:val="22"/>
          <w:szCs w:val="22"/>
          <w:lang w:val="en-US"/>
        </w:rPr>
      </w:pPr>
      <w:r>
        <w:rPr>
          <w:rFonts w:eastAsia="MS Mincho"/>
          <w:sz w:val="22"/>
          <w:szCs w:val="22"/>
          <w:vertAlign w:val="superscript"/>
          <w:lang w:val="en-US"/>
        </w:rPr>
        <w:t>8</w:t>
      </w:r>
      <w:r w:rsidRPr="0014531A">
        <w:rPr>
          <w:rFonts w:eastAsia="MS Mincho"/>
          <w:sz w:val="22"/>
          <w:szCs w:val="22"/>
          <w:lang w:val="en-US"/>
        </w:rPr>
        <w:t>University Department of Anesthesiology and Intensive Care Medicine</w:t>
      </w:r>
      <w:r>
        <w:rPr>
          <w:rFonts w:eastAsia="MS Mincho"/>
          <w:sz w:val="22"/>
          <w:szCs w:val="22"/>
          <w:lang w:val="en-US"/>
        </w:rPr>
        <w:t>, University Hospital Tübingen, Hoppe-Seyler-Str. 3, 72076 Tübingen, Germany</w:t>
      </w:r>
    </w:p>
    <w:p w14:paraId="3B944150" w14:textId="77777777" w:rsidR="001B182D" w:rsidRDefault="001B182D" w:rsidP="009D37D8">
      <w:pPr>
        <w:spacing w:line="480" w:lineRule="auto"/>
        <w:rPr>
          <w:rFonts w:eastAsia="MS Mincho"/>
          <w:b/>
          <w:sz w:val="22"/>
          <w:szCs w:val="22"/>
          <w:lang w:val="en-US"/>
        </w:rPr>
      </w:pPr>
    </w:p>
    <w:p w14:paraId="508D3EBC" w14:textId="77777777" w:rsidR="008C0308" w:rsidRDefault="008C0308">
      <w:pPr>
        <w:spacing w:after="160" w:line="259" w:lineRule="auto"/>
        <w:rPr>
          <w:rFonts w:eastAsia="MS Mincho"/>
          <w:b/>
          <w:sz w:val="22"/>
          <w:szCs w:val="22"/>
          <w:lang w:val="en-US"/>
        </w:rPr>
      </w:pPr>
      <w:r>
        <w:rPr>
          <w:rFonts w:eastAsia="MS Mincho"/>
          <w:b/>
          <w:sz w:val="22"/>
          <w:szCs w:val="22"/>
          <w:lang w:val="en-US"/>
        </w:rPr>
        <w:br w:type="page"/>
      </w:r>
    </w:p>
    <w:p w14:paraId="419A7493" w14:textId="0C205C9A" w:rsidR="009D37D8" w:rsidRDefault="009D37D8" w:rsidP="00B83A20">
      <w:pPr>
        <w:spacing w:after="160" w:line="259" w:lineRule="auto"/>
        <w:rPr>
          <w:rFonts w:eastAsia="MS Mincho"/>
          <w:b/>
          <w:sz w:val="22"/>
          <w:szCs w:val="22"/>
          <w:lang w:val="en-US"/>
        </w:rPr>
      </w:pPr>
      <w:bookmarkStart w:id="0" w:name="_GoBack"/>
      <w:bookmarkEnd w:id="0"/>
      <w:r>
        <w:rPr>
          <w:rFonts w:eastAsia="MS Mincho"/>
          <w:b/>
          <w:sz w:val="22"/>
          <w:szCs w:val="22"/>
          <w:lang w:val="en-US"/>
        </w:rPr>
        <w:lastRenderedPageBreak/>
        <w:t>Supplementary Figures</w:t>
      </w:r>
    </w:p>
    <w:p w14:paraId="5D77156D" w14:textId="77777777" w:rsidR="009D37D8" w:rsidRDefault="009D37D8" w:rsidP="009D37D8">
      <w:pPr>
        <w:spacing w:line="480" w:lineRule="auto"/>
        <w:rPr>
          <w:iCs/>
          <w:sz w:val="22"/>
          <w:szCs w:val="22"/>
          <w:lang w:val="en-US"/>
        </w:rPr>
      </w:pPr>
      <w:r>
        <w:rPr>
          <w:rFonts w:eastAsia="MS Mincho"/>
          <w:b/>
          <w:sz w:val="22"/>
          <w:szCs w:val="22"/>
          <w:lang w:val="en-US"/>
        </w:rPr>
        <w:t>Figure S1:</w:t>
      </w:r>
      <w:r w:rsidRPr="003E0F5D">
        <w:rPr>
          <w:i/>
          <w:iCs/>
          <w:sz w:val="22"/>
          <w:szCs w:val="22"/>
          <w:lang w:val="en-US"/>
        </w:rPr>
        <w:t xml:space="preserve"> </w:t>
      </w:r>
      <w:r w:rsidRPr="003E0F5D">
        <w:rPr>
          <w:iCs/>
          <w:sz w:val="22"/>
          <w:szCs w:val="22"/>
          <w:lang w:val="en-US"/>
        </w:rPr>
        <w:t>Unbound fraction of tigecycline in plasma of 11 patients undergoing CRRT. Solid line = CVVHD, dashed line = CVVHDF.</w:t>
      </w:r>
    </w:p>
    <w:p w14:paraId="3C7DD143" w14:textId="77777777" w:rsidR="009D37D8" w:rsidRPr="003E0F5D" w:rsidRDefault="009D37D8" w:rsidP="009D37D8">
      <w:pPr>
        <w:spacing w:line="480" w:lineRule="auto"/>
        <w:jc w:val="center"/>
        <w:rPr>
          <w:i/>
          <w:iCs/>
          <w:sz w:val="22"/>
          <w:szCs w:val="22"/>
          <w:lang w:val="en-US"/>
        </w:rPr>
      </w:pPr>
      <w:r w:rsidRPr="003E0F5D">
        <w:rPr>
          <w:noProof/>
          <w:sz w:val="22"/>
          <w:szCs w:val="22"/>
        </w:rPr>
        <w:drawing>
          <wp:inline distT="0" distB="0" distL="0" distR="0" wp14:anchorId="30D1CB32" wp14:editId="7B6D0CA9">
            <wp:extent cx="3340100" cy="3164840"/>
            <wp:effectExtent l="0" t="0" r="12700" b="10160"/>
            <wp:docPr id="1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C8F0" w14:textId="77777777" w:rsidR="009D37D8" w:rsidRPr="003E0F5D" w:rsidRDefault="009D37D8" w:rsidP="009D37D8">
      <w:pPr>
        <w:rPr>
          <w:rFonts w:eastAsia="MS Mincho"/>
          <w:b/>
          <w:sz w:val="22"/>
          <w:szCs w:val="22"/>
          <w:lang w:val="en-US"/>
        </w:rPr>
      </w:pPr>
    </w:p>
    <w:p w14:paraId="2816719C" w14:textId="77777777" w:rsidR="009D37D8" w:rsidRPr="003E0F5D" w:rsidRDefault="009D37D8" w:rsidP="009D37D8">
      <w:pPr>
        <w:rPr>
          <w:rFonts w:eastAsia="MS Mincho"/>
          <w:b/>
          <w:sz w:val="22"/>
          <w:szCs w:val="22"/>
          <w:lang w:val="en-US"/>
        </w:rPr>
      </w:pPr>
    </w:p>
    <w:p w14:paraId="00114006" w14:textId="77777777" w:rsidR="00E07683" w:rsidRDefault="00E07683"/>
    <w:sectPr w:rsidR="00E07683" w:rsidSect="00CA080E">
      <w:footerReference w:type="even" r:id="rId7"/>
      <w:footerReference w:type="default" r:id="rId8"/>
      <w:pgSz w:w="11900" w:h="16840"/>
      <w:pgMar w:top="1134" w:right="1134" w:bottom="1134" w:left="1134" w:header="709" w:footer="709" w:gutter="0"/>
      <w:lnNumType w:countBy="1" w:restart="continuous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9061B" w14:textId="77777777" w:rsidR="00807940" w:rsidRDefault="00807940">
      <w:pPr>
        <w:spacing w:after="0"/>
      </w:pPr>
      <w:r>
        <w:separator/>
      </w:r>
    </w:p>
  </w:endnote>
  <w:endnote w:type="continuationSeparator" w:id="0">
    <w:p w14:paraId="12BB4F99" w14:textId="77777777" w:rsidR="00807940" w:rsidRDefault="008079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F3692" w14:textId="77777777" w:rsidR="00C66865" w:rsidRDefault="001B182D" w:rsidP="00004B9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8ED434C" w14:textId="77777777" w:rsidR="00C66865" w:rsidRDefault="008C0308" w:rsidP="00004B9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5522D" w14:textId="6AB11030" w:rsidR="00C66865" w:rsidRDefault="001B182D" w:rsidP="00004B9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C0308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  <w:p w14:paraId="37DE4557" w14:textId="77777777" w:rsidR="00C66865" w:rsidRPr="00300E26" w:rsidRDefault="001B182D" w:rsidP="00004B99">
    <w:pPr>
      <w:pStyle w:val="Fuzeile"/>
      <w:tabs>
        <w:tab w:val="clear" w:pos="9072"/>
        <w:tab w:val="right" w:pos="9498"/>
      </w:tabs>
      <w:ind w:right="360"/>
      <w:rPr>
        <w:i/>
        <w:szCs w:val="22"/>
      </w:rPr>
    </w:pPr>
    <w:r>
      <w:rPr>
        <w:i/>
        <w:sz w:val="16"/>
        <w:szCs w:val="16"/>
      </w:rPr>
      <w:tab/>
    </w:r>
    <w:r>
      <w:rPr>
        <w:i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463D0" w14:textId="77777777" w:rsidR="00807940" w:rsidRDefault="00807940">
      <w:pPr>
        <w:spacing w:after="0"/>
      </w:pPr>
      <w:r>
        <w:separator/>
      </w:r>
    </w:p>
  </w:footnote>
  <w:footnote w:type="continuationSeparator" w:id="0">
    <w:p w14:paraId="4B4635D0" w14:textId="77777777" w:rsidR="00807940" w:rsidRDefault="008079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D8"/>
    <w:rsid w:val="0004385E"/>
    <w:rsid w:val="001B182D"/>
    <w:rsid w:val="006E3A4E"/>
    <w:rsid w:val="007E2C1E"/>
    <w:rsid w:val="00807940"/>
    <w:rsid w:val="008C0308"/>
    <w:rsid w:val="008E7D1F"/>
    <w:rsid w:val="009D37D8"/>
    <w:rsid w:val="00B83A20"/>
    <w:rsid w:val="00D91AB3"/>
    <w:rsid w:val="00E0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CA377"/>
  <w15:chartTrackingRefBased/>
  <w15:docId w15:val="{A01BCEC7-F8FB-4CD4-AF12-2CDC69F4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9D37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9D37D8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9D37D8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9D37D8"/>
  </w:style>
  <w:style w:type="character" w:styleId="Zeilennummer">
    <w:name w:val="line number"/>
    <w:basedOn w:val="Absatz-Standardschriftart"/>
    <w:uiPriority w:val="99"/>
    <w:semiHidden/>
    <w:unhideWhenUsed/>
    <w:rsid w:val="009D37D8"/>
  </w:style>
  <w:style w:type="paragraph" w:styleId="Kopfzeile">
    <w:name w:val="header"/>
    <w:basedOn w:val="Standard"/>
    <w:link w:val="KopfzeileZchn"/>
    <w:uiPriority w:val="99"/>
    <w:unhideWhenUsed/>
    <w:rsid w:val="00B83A20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B83A20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438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4385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4385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38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385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385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385E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Hamburg - Fachbereich Chemie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Wicha</dc:creator>
  <cp:keywords/>
  <dc:description/>
  <cp:lastModifiedBy>Sebastian Wicha</cp:lastModifiedBy>
  <cp:revision>4</cp:revision>
  <dcterms:created xsi:type="dcterms:W3CDTF">2018-07-12T13:19:00Z</dcterms:created>
  <dcterms:modified xsi:type="dcterms:W3CDTF">2018-07-12T13:19:00Z</dcterms:modified>
</cp:coreProperties>
</file>