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B3EDC" w14:textId="21FE2298" w:rsidR="00CA3771" w:rsidRPr="00CA3771" w:rsidRDefault="005C0872" w:rsidP="00CA3771">
      <w:pPr>
        <w:widowControl/>
        <w:spacing w:line="360" w:lineRule="auto"/>
        <w:jc w:val="left"/>
        <w:rPr>
          <w:b/>
          <w:sz w:val="28"/>
          <w:szCs w:val="24"/>
        </w:rPr>
      </w:pPr>
      <w:bookmarkStart w:id="0" w:name="_GoBack"/>
      <w:bookmarkEnd w:id="0"/>
      <w:r w:rsidRPr="005C0872">
        <w:rPr>
          <w:b/>
          <w:sz w:val="28"/>
          <w:szCs w:val="24"/>
        </w:rPr>
        <w:t>Additional file</w:t>
      </w:r>
      <w:r>
        <w:rPr>
          <w:b/>
          <w:sz w:val="28"/>
          <w:szCs w:val="24"/>
        </w:rPr>
        <w:t xml:space="preserve"> 1</w:t>
      </w:r>
    </w:p>
    <w:p w14:paraId="594751D7" w14:textId="4C8E7FEB" w:rsidR="00CA3771" w:rsidRPr="005C0872" w:rsidRDefault="00CA3771" w:rsidP="00CA3771">
      <w:pPr>
        <w:spacing w:line="276" w:lineRule="auto"/>
        <w:rPr>
          <w:b/>
          <w:sz w:val="24"/>
        </w:rPr>
      </w:pPr>
      <w:r w:rsidRPr="005C0872">
        <w:rPr>
          <w:b/>
          <w:sz w:val="24"/>
        </w:rPr>
        <w:t>Table S</w:t>
      </w:r>
      <w:r w:rsidR="005C0872" w:rsidRPr="005C0872">
        <w:rPr>
          <w:b/>
          <w:sz w:val="24"/>
        </w:rPr>
        <w:t>1</w:t>
      </w:r>
      <w:r w:rsidR="005C0872">
        <w:rPr>
          <w:b/>
          <w:sz w:val="24"/>
        </w:rPr>
        <w:t>.</w:t>
      </w:r>
      <w:r w:rsidRPr="005C0872">
        <w:rPr>
          <w:b/>
          <w:sz w:val="24"/>
        </w:rPr>
        <w:t xml:space="preserve"> PS model for LOS outcomes</w:t>
      </w:r>
    </w:p>
    <w:tbl>
      <w:tblPr>
        <w:tblStyle w:val="ListTable6ColorfulAccent3"/>
        <w:tblW w:w="5000" w:type="pct"/>
        <w:jc w:val="center"/>
        <w:tblLook w:val="04A0" w:firstRow="1" w:lastRow="0" w:firstColumn="1" w:lastColumn="0" w:noHBand="0" w:noVBand="1"/>
      </w:tblPr>
      <w:tblGrid>
        <w:gridCol w:w="4281"/>
        <w:gridCol w:w="1480"/>
        <w:gridCol w:w="2154"/>
        <w:gridCol w:w="1440"/>
        <w:gridCol w:w="1301"/>
        <w:gridCol w:w="2081"/>
        <w:gridCol w:w="1437"/>
      </w:tblGrid>
      <w:tr w:rsidR="00CA3771" w:rsidRPr="00AC1232" w14:paraId="4E1FF3BF" w14:textId="77777777" w:rsidTr="009C5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 w:val="restart"/>
            <w:tcBorders>
              <w:top w:val="single" w:sz="4" w:space="0" w:color="auto"/>
            </w:tcBorders>
            <w:vAlign w:val="center"/>
          </w:tcPr>
          <w:p w14:paraId="201B8FBB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color w:val="000000" w:themeColor="text1"/>
                <w:szCs w:val="21"/>
              </w:rPr>
              <w:t>Covariates</w:t>
            </w:r>
          </w:p>
        </w:tc>
        <w:tc>
          <w:tcPr>
            <w:tcW w:w="179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C65BE9E" w14:textId="77777777" w:rsidR="00CA3771" w:rsidRPr="00AC1232" w:rsidRDefault="00CA3771" w:rsidP="00CA3771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val="single"/>
              </w:rPr>
            </w:pPr>
            <w:r w:rsidRPr="00AC1232">
              <w:rPr>
                <w:color w:val="auto"/>
                <w:u w:val="single"/>
              </w:rPr>
              <w:t xml:space="preserve">               Before PS matching                      </w:t>
            </w:r>
          </w:p>
        </w:tc>
        <w:tc>
          <w:tcPr>
            <w:tcW w:w="17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64E8A64" w14:textId="77777777" w:rsidR="00CA3771" w:rsidRPr="00AC1232" w:rsidRDefault="00CA3771" w:rsidP="00CA3771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val="single"/>
              </w:rPr>
            </w:pPr>
            <w:r w:rsidRPr="00AC1232">
              <w:rPr>
                <w:color w:val="auto"/>
                <w:u w:val="single"/>
              </w:rPr>
              <w:t xml:space="preserve">             After PS matching</w:t>
            </w:r>
            <w:r w:rsidRPr="00AC1232">
              <w:rPr>
                <w:color w:val="auto"/>
                <w:u w:val="single"/>
                <w:vertAlign w:val="superscript"/>
              </w:rPr>
              <w:t>†</w:t>
            </w:r>
            <w:r w:rsidRPr="00AC1232">
              <w:rPr>
                <w:color w:val="auto"/>
                <w:u w:val="single"/>
              </w:rPr>
              <w:t xml:space="preserve">                 </w:t>
            </w:r>
          </w:p>
        </w:tc>
      </w:tr>
      <w:tr w:rsidR="00CA3771" w:rsidRPr="00AC1232" w14:paraId="4E03621C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tcBorders>
              <w:bottom w:val="single" w:sz="4" w:space="0" w:color="auto"/>
            </w:tcBorders>
            <w:vAlign w:val="center"/>
          </w:tcPr>
          <w:p w14:paraId="3AD6C2EC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vAlign w:val="center"/>
          </w:tcPr>
          <w:p w14:paraId="5C00BE16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N-CLABSI (n=155)</w:t>
            </w:r>
          </w:p>
        </w:tc>
        <w:tc>
          <w:tcPr>
            <w:tcW w:w="760" w:type="pct"/>
            <w:tcBorders>
              <w:top w:val="nil"/>
              <w:bottom w:val="single" w:sz="4" w:space="0" w:color="auto"/>
            </w:tcBorders>
            <w:vAlign w:val="center"/>
          </w:tcPr>
          <w:p w14:paraId="2389307B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Without N-CLABSI (n=4891)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vAlign w:val="center"/>
          </w:tcPr>
          <w:p w14:paraId="61159408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Standardized</w:t>
            </w:r>
          </w:p>
          <w:p w14:paraId="13DCDD56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Difference</w:t>
            </w:r>
            <w:r w:rsidRPr="00AC1232">
              <w:rPr>
                <w:b/>
                <w:color w:val="auto"/>
                <w:vertAlign w:val="superscript"/>
              </w:rPr>
              <w:t>*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center"/>
          </w:tcPr>
          <w:p w14:paraId="1B23EB56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N-CLABSI (n=155)</w:t>
            </w:r>
          </w:p>
        </w:tc>
        <w:tc>
          <w:tcPr>
            <w:tcW w:w="734" w:type="pct"/>
            <w:tcBorders>
              <w:top w:val="nil"/>
              <w:bottom w:val="single" w:sz="4" w:space="0" w:color="auto"/>
            </w:tcBorders>
            <w:vAlign w:val="center"/>
          </w:tcPr>
          <w:p w14:paraId="4C07F378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Without N-CLABSI (n=501)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14:paraId="68142965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Standardized</w:t>
            </w:r>
          </w:p>
          <w:p w14:paraId="6884E99F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Difference</w:t>
            </w:r>
          </w:p>
        </w:tc>
      </w:tr>
      <w:tr w:rsidR="00CA3771" w:rsidRPr="00AC1232" w14:paraId="631417D5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tcBorders>
              <w:top w:val="single" w:sz="4" w:space="0" w:color="auto"/>
            </w:tcBorders>
            <w:vAlign w:val="center"/>
          </w:tcPr>
          <w:p w14:paraId="72D7B4D8" w14:textId="77777777" w:rsidR="00CA3771" w:rsidRPr="00AC1232" w:rsidRDefault="00CA3771" w:rsidP="00CA3771">
            <w:pPr>
              <w:spacing w:line="276" w:lineRule="auto"/>
              <w:rPr>
                <w:rFonts w:eastAsia="DengXian"/>
                <w:b w:val="0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Age (y), mean ± SD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14:paraId="5841B927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53.3 ± 16.4</w:t>
            </w:r>
          </w:p>
        </w:tc>
        <w:tc>
          <w:tcPr>
            <w:tcW w:w="760" w:type="pct"/>
            <w:tcBorders>
              <w:top w:val="single" w:sz="4" w:space="0" w:color="auto"/>
            </w:tcBorders>
            <w:vAlign w:val="center"/>
          </w:tcPr>
          <w:p w14:paraId="6C690294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56.9 ± 17.7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1394D9CF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-</w:t>
            </w:r>
            <w:r>
              <w:rPr>
                <w:rFonts w:eastAsia="DengXian"/>
                <w:bCs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213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center"/>
          </w:tcPr>
          <w:p w14:paraId="50749F5B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53.3 ± 16.4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25125900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52.9 ± 18.1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4BED20E7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>
              <w:rPr>
                <w:rFonts w:eastAsia="DengXian"/>
                <w:bCs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024</w:t>
            </w:r>
          </w:p>
        </w:tc>
      </w:tr>
      <w:tr w:rsidR="00CA3771" w:rsidRPr="00AC1232" w14:paraId="0A884B3C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14E31F06" w14:textId="77777777" w:rsidR="00CA3771" w:rsidRPr="00AC1232" w:rsidRDefault="00CA3771" w:rsidP="00CA3771">
            <w:pPr>
              <w:spacing w:line="276" w:lineRule="auto"/>
              <w:rPr>
                <w:rFonts w:eastAsia="DengXian"/>
                <w:b w:val="0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APACHE II score on ICU admission, mean ± SD</w:t>
            </w:r>
          </w:p>
        </w:tc>
        <w:tc>
          <w:tcPr>
            <w:tcW w:w="522" w:type="pct"/>
            <w:vAlign w:val="center"/>
          </w:tcPr>
          <w:p w14:paraId="6829D815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21.0 ± 8.0</w:t>
            </w:r>
          </w:p>
        </w:tc>
        <w:tc>
          <w:tcPr>
            <w:tcW w:w="760" w:type="pct"/>
            <w:vAlign w:val="center"/>
          </w:tcPr>
          <w:p w14:paraId="28539298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19.0 ± 8.1</w:t>
            </w:r>
          </w:p>
        </w:tc>
        <w:tc>
          <w:tcPr>
            <w:tcW w:w="508" w:type="pct"/>
            <w:vAlign w:val="center"/>
          </w:tcPr>
          <w:p w14:paraId="292B9974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>
              <w:rPr>
                <w:rFonts w:eastAsia="DengXian"/>
                <w:bCs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249</w:t>
            </w:r>
          </w:p>
        </w:tc>
        <w:tc>
          <w:tcPr>
            <w:tcW w:w="459" w:type="pct"/>
            <w:vAlign w:val="center"/>
          </w:tcPr>
          <w:p w14:paraId="08AAAE84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21.0 ± 8.0</w:t>
            </w:r>
          </w:p>
        </w:tc>
        <w:tc>
          <w:tcPr>
            <w:tcW w:w="734" w:type="pct"/>
            <w:vAlign w:val="center"/>
          </w:tcPr>
          <w:p w14:paraId="16F5BA59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21.1 ± 7.6</w:t>
            </w:r>
          </w:p>
        </w:tc>
        <w:tc>
          <w:tcPr>
            <w:tcW w:w="507" w:type="pct"/>
            <w:vAlign w:val="center"/>
          </w:tcPr>
          <w:p w14:paraId="6BFAAB3E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-</w:t>
            </w:r>
            <w:r>
              <w:rPr>
                <w:rFonts w:eastAsia="DengXian"/>
                <w:bCs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002</w:t>
            </w:r>
          </w:p>
        </w:tc>
      </w:tr>
      <w:tr w:rsidR="00CA3771" w:rsidRPr="00AC1232" w14:paraId="278708F0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29BAEAE1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Gastrointestinal bleeding, No. (%)</w:t>
            </w:r>
          </w:p>
        </w:tc>
        <w:tc>
          <w:tcPr>
            <w:tcW w:w="522" w:type="pct"/>
            <w:vAlign w:val="center"/>
          </w:tcPr>
          <w:p w14:paraId="02D1886B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25 (16.1)</w:t>
            </w:r>
          </w:p>
        </w:tc>
        <w:tc>
          <w:tcPr>
            <w:tcW w:w="760" w:type="pct"/>
            <w:vAlign w:val="center"/>
          </w:tcPr>
          <w:p w14:paraId="3B6B19B5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395 (8.1)</w:t>
            </w:r>
          </w:p>
        </w:tc>
        <w:tc>
          <w:tcPr>
            <w:tcW w:w="508" w:type="pct"/>
            <w:vAlign w:val="center"/>
          </w:tcPr>
          <w:p w14:paraId="16C60E60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249</w:t>
            </w:r>
          </w:p>
        </w:tc>
        <w:tc>
          <w:tcPr>
            <w:tcW w:w="459" w:type="pct"/>
            <w:vAlign w:val="center"/>
          </w:tcPr>
          <w:p w14:paraId="47222648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25 (16.1)</w:t>
            </w:r>
          </w:p>
        </w:tc>
        <w:tc>
          <w:tcPr>
            <w:tcW w:w="734" w:type="pct"/>
            <w:vAlign w:val="center"/>
          </w:tcPr>
          <w:p w14:paraId="042374D9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73 (14.6)</w:t>
            </w:r>
          </w:p>
        </w:tc>
        <w:tc>
          <w:tcPr>
            <w:tcW w:w="507" w:type="pct"/>
            <w:vAlign w:val="center"/>
          </w:tcPr>
          <w:p w14:paraId="5F465065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043</w:t>
            </w:r>
          </w:p>
        </w:tc>
      </w:tr>
      <w:tr w:rsidR="00CA3771" w:rsidRPr="00AC1232" w14:paraId="714B95F0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026E954A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Multiple organ failure, No. (%)</w:t>
            </w:r>
          </w:p>
        </w:tc>
        <w:tc>
          <w:tcPr>
            <w:tcW w:w="522" w:type="pct"/>
            <w:vAlign w:val="center"/>
          </w:tcPr>
          <w:p w14:paraId="6761F0E7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62 (40.0)</w:t>
            </w:r>
          </w:p>
        </w:tc>
        <w:tc>
          <w:tcPr>
            <w:tcW w:w="760" w:type="pct"/>
            <w:vAlign w:val="center"/>
          </w:tcPr>
          <w:p w14:paraId="3363B087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1,150 (23.5)</w:t>
            </w:r>
          </w:p>
        </w:tc>
        <w:tc>
          <w:tcPr>
            <w:tcW w:w="508" w:type="pct"/>
            <w:vAlign w:val="center"/>
          </w:tcPr>
          <w:p w14:paraId="1277F706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360</w:t>
            </w:r>
          </w:p>
        </w:tc>
        <w:tc>
          <w:tcPr>
            <w:tcW w:w="459" w:type="pct"/>
            <w:vAlign w:val="center"/>
          </w:tcPr>
          <w:p w14:paraId="1F4C5BB3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62 (40.0)</w:t>
            </w:r>
          </w:p>
        </w:tc>
        <w:tc>
          <w:tcPr>
            <w:tcW w:w="734" w:type="pct"/>
            <w:vAlign w:val="center"/>
          </w:tcPr>
          <w:p w14:paraId="4F66B68C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178 (35.5)</w:t>
            </w:r>
          </w:p>
        </w:tc>
        <w:tc>
          <w:tcPr>
            <w:tcW w:w="507" w:type="pct"/>
            <w:vAlign w:val="center"/>
          </w:tcPr>
          <w:p w14:paraId="3275EE81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092</w:t>
            </w:r>
          </w:p>
        </w:tc>
      </w:tr>
      <w:tr w:rsidR="00CA3771" w:rsidRPr="00AC1232" w14:paraId="14276685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7BC41889" w14:textId="77777777" w:rsidR="00CA3771" w:rsidRPr="00AC1232" w:rsidRDefault="00CA3771" w:rsidP="00CA3771">
            <w:pPr>
              <w:spacing w:line="276" w:lineRule="auto"/>
              <w:jc w:val="left"/>
              <w:rPr>
                <w:rFonts w:eastAsia="DengXian"/>
                <w:b w:val="0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Disorder of consciousness, No. (%)</w:t>
            </w:r>
          </w:p>
        </w:tc>
        <w:tc>
          <w:tcPr>
            <w:tcW w:w="522" w:type="pct"/>
          </w:tcPr>
          <w:p w14:paraId="2CEE45D1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21 (13.5)</w:t>
            </w:r>
          </w:p>
        </w:tc>
        <w:tc>
          <w:tcPr>
            <w:tcW w:w="760" w:type="pct"/>
          </w:tcPr>
          <w:p w14:paraId="4BF93B1E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479 (9.8)</w:t>
            </w:r>
          </w:p>
        </w:tc>
        <w:tc>
          <w:tcPr>
            <w:tcW w:w="508" w:type="pct"/>
            <w:vAlign w:val="center"/>
          </w:tcPr>
          <w:p w14:paraId="335DBFB9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117</w:t>
            </w:r>
          </w:p>
        </w:tc>
        <w:tc>
          <w:tcPr>
            <w:tcW w:w="459" w:type="pct"/>
          </w:tcPr>
          <w:p w14:paraId="2E90DD2C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21 (13.5)</w:t>
            </w:r>
          </w:p>
        </w:tc>
        <w:tc>
          <w:tcPr>
            <w:tcW w:w="734" w:type="pct"/>
            <w:vAlign w:val="center"/>
          </w:tcPr>
          <w:p w14:paraId="0681A6F9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61 (12.2)</w:t>
            </w:r>
          </w:p>
        </w:tc>
        <w:tc>
          <w:tcPr>
            <w:tcW w:w="507" w:type="pct"/>
            <w:vAlign w:val="center"/>
          </w:tcPr>
          <w:p w14:paraId="36EF4499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041</w:t>
            </w:r>
          </w:p>
        </w:tc>
      </w:tr>
      <w:tr w:rsidR="00CA3771" w:rsidRPr="00AC1232" w14:paraId="5C0ABDD6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4694B3FD" w14:textId="77777777" w:rsidR="00CA3771" w:rsidRPr="00AC1232" w:rsidRDefault="00CA3771" w:rsidP="00CA3771">
            <w:pPr>
              <w:spacing w:line="276" w:lineRule="auto"/>
              <w:jc w:val="left"/>
              <w:rPr>
                <w:rFonts w:eastAsia="DengXian"/>
                <w:b w:val="0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Trauma, No. (%)</w:t>
            </w:r>
          </w:p>
        </w:tc>
        <w:tc>
          <w:tcPr>
            <w:tcW w:w="522" w:type="pct"/>
          </w:tcPr>
          <w:p w14:paraId="51C9C92D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30 (19.4)</w:t>
            </w:r>
          </w:p>
        </w:tc>
        <w:tc>
          <w:tcPr>
            <w:tcW w:w="760" w:type="pct"/>
          </w:tcPr>
          <w:p w14:paraId="45379C23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720 (14.7)</w:t>
            </w:r>
          </w:p>
        </w:tc>
        <w:tc>
          <w:tcPr>
            <w:tcW w:w="508" w:type="pct"/>
            <w:vAlign w:val="center"/>
          </w:tcPr>
          <w:p w14:paraId="016DCDED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123</w:t>
            </w:r>
          </w:p>
        </w:tc>
        <w:tc>
          <w:tcPr>
            <w:tcW w:w="459" w:type="pct"/>
          </w:tcPr>
          <w:p w14:paraId="6C819D17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bCs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bCs/>
                <w:color w:val="auto"/>
                <w:kern w:val="0"/>
                <w:sz w:val="20"/>
              </w:rPr>
              <w:t>30 (19.4)</w:t>
            </w:r>
          </w:p>
        </w:tc>
        <w:tc>
          <w:tcPr>
            <w:tcW w:w="734" w:type="pct"/>
            <w:vAlign w:val="center"/>
          </w:tcPr>
          <w:p w14:paraId="43746AB3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109 (21.8)</w:t>
            </w:r>
          </w:p>
        </w:tc>
        <w:tc>
          <w:tcPr>
            <w:tcW w:w="507" w:type="pct"/>
            <w:vAlign w:val="center"/>
          </w:tcPr>
          <w:p w14:paraId="642E3742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059</w:t>
            </w:r>
          </w:p>
        </w:tc>
      </w:tr>
      <w:tr w:rsidR="00CA3771" w:rsidRPr="00AC1232" w14:paraId="7D950217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232192EF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Surgical operation, No. (%)</w:t>
            </w:r>
          </w:p>
        </w:tc>
        <w:tc>
          <w:tcPr>
            <w:tcW w:w="522" w:type="pct"/>
            <w:vAlign w:val="center"/>
          </w:tcPr>
          <w:p w14:paraId="5A0EACA5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138 (89.0)</w:t>
            </w:r>
          </w:p>
        </w:tc>
        <w:tc>
          <w:tcPr>
            <w:tcW w:w="760" w:type="pct"/>
            <w:vAlign w:val="center"/>
          </w:tcPr>
          <w:p w14:paraId="00021D46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3,024 (61.8)</w:t>
            </w:r>
          </w:p>
        </w:tc>
        <w:tc>
          <w:tcPr>
            <w:tcW w:w="508" w:type="pct"/>
            <w:vAlign w:val="center"/>
          </w:tcPr>
          <w:p w14:paraId="6C29A60C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639</w:t>
            </w:r>
          </w:p>
        </w:tc>
        <w:tc>
          <w:tcPr>
            <w:tcW w:w="459" w:type="pct"/>
            <w:vAlign w:val="center"/>
          </w:tcPr>
          <w:p w14:paraId="14D40D3B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138 (89.0)</w:t>
            </w:r>
          </w:p>
        </w:tc>
        <w:tc>
          <w:tcPr>
            <w:tcW w:w="734" w:type="pct"/>
            <w:vAlign w:val="center"/>
          </w:tcPr>
          <w:p w14:paraId="260C3CDE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452 (87.3)</w:t>
            </w:r>
          </w:p>
        </w:tc>
        <w:tc>
          <w:tcPr>
            <w:tcW w:w="507" w:type="pct"/>
            <w:vAlign w:val="center"/>
          </w:tcPr>
          <w:p w14:paraId="3E87DF79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100</w:t>
            </w:r>
          </w:p>
        </w:tc>
      </w:tr>
      <w:tr w:rsidR="00CA3771" w:rsidRPr="00AC1232" w14:paraId="78998499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587E2417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Intravascular catheters, No. (%)</w:t>
            </w:r>
          </w:p>
        </w:tc>
        <w:tc>
          <w:tcPr>
            <w:tcW w:w="522" w:type="pct"/>
            <w:vAlign w:val="center"/>
          </w:tcPr>
          <w:p w14:paraId="7A3B6A62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143 (92.3)</w:t>
            </w:r>
          </w:p>
        </w:tc>
        <w:tc>
          <w:tcPr>
            <w:tcW w:w="760" w:type="pct"/>
            <w:vAlign w:val="center"/>
          </w:tcPr>
          <w:p w14:paraId="546D1E3F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2,962 (60.6)</w:t>
            </w:r>
          </w:p>
        </w:tc>
        <w:tc>
          <w:tcPr>
            <w:tcW w:w="508" w:type="pct"/>
            <w:vAlign w:val="center"/>
          </w:tcPr>
          <w:p w14:paraId="792E3F69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367</w:t>
            </w:r>
          </w:p>
        </w:tc>
        <w:tc>
          <w:tcPr>
            <w:tcW w:w="459" w:type="pct"/>
            <w:vAlign w:val="center"/>
          </w:tcPr>
          <w:p w14:paraId="7E4387E4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143 (92.3)</w:t>
            </w:r>
          </w:p>
        </w:tc>
        <w:tc>
          <w:tcPr>
            <w:tcW w:w="734" w:type="pct"/>
            <w:vAlign w:val="center"/>
          </w:tcPr>
          <w:p w14:paraId="7FC133A1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458 (91.4)</w:t>
            </w:r>
          </w:p>
        </w:tc>
        <w:tc>
          <w:tcPr>
            <w:tcW w:w="507" w:type="pct"/>
            <w:vAlign w:val="center"/>
          </w:tcPr>
          <w:p w14:paraId="31E6A6CB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031</w:t>
            </w:r>
          </w:p>
        </w:tc>
      </w:tr>
      <w:tr w:rsidR="00CA3771" w:rsidRPr="00AC1232" w14:paraId="41E31E81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3480CD08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Organ biopsy, No. (%)</w:t>
            </w:r>
          </w:p>
        </w:tc>
        <w:tc>
          <w:tcPr>
            <w:tcW w:w="522" w:type="pct"/>
            <w:vAlign w:val="center"/>
          </w:tcPr>
          <w:p w14:paraId="4C4671AA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45 (29.0)</w:t>
            </w:r>
          </w:p>
        </w:tc>
        <w:tc>
          <w:tcPr>
            <w:tcW w:w="760" w:type="pct"/>
            <w:vAlign w:val="center"/>
          </w:tcPr>
          <w:p w14:paraId="458364B8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812 (16.6)</w:t>
            </w:r>
          </w:p>
        </w:tc>
        <w:tc>
          <w:tcPr>
            <w:tcW w:w="508" w:type="pct"/>
            <w:vAlign w:val="center"/>
          </w:tcPr>
          <w:p w14:paraId="5CBBB824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300</w:t>
            </w:r>
          </w:p>
        </w:tc>
        <w:tc>
          <w:tcPr>
            <w:tcW w:w="459" w:type="pct"/>
            <w:vAlign w:val="center"/>
          </w:tcPr>
          <w:p w14:paraId="289419FE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45 (29.0)</w:t>
            </w:r>
          </w:p>
        </w:tc>
        <w:tc>
          <w:tcPr>
            <w:tcW w:w="734" w:type="pct"/>
            <w:vAlign w:val="center"/>
          </w:tcPr>
          <w:p w14:paraId="54B5E1BD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125 (25.0)</w:t>
            </w:r>
          </w:p>
        </w:tc>
        <w:tc>
          <w:tcPr>
            <w:tcW w:w="507" w:type="pct"/>
            <w:vAlign w:val="center"/>
          </w:tcPr>
          <w:p w14:paraId="60A1FFE7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092</w:t>
            </w:r>
          </w:p>
        </w:tc>
      </w:tr>
      <w:tr w:rsidR="00CA3771" w:rsidRPr="00AC1232" w14:paraId="0A092A54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41160FAF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MDRO, No. (%)</w:t>
            </w:r>
          </w:p>
        </w:tc>
        <w:tc>
          <w:tcPr>
            <w:tcW w:w="522" w:type="pct"/>
            <w:vAlign w:val="center"/>
          </w:tcPr>
          <w:p w14:paraId="066477BB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123 (79.4)</w:t>
            </w:r>
          </w:p>
        </w:tc>
        <w:tc>
          <w:tcPr>
            <w:tcW w:w="760" w:type="pct"/>
            <w:vAlign w:val="center"/>
          </w:tcPr>
          <w:p w14:paraId="5751FB87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1,660 (33.9)</w:t>
            </w:r>
          </w:p>
        </w:tc>
        <w:tc>
          <w:tcPr>
            <w:tcW w:w="508" w:type="pct"/>
            <w:vAlign w:val="center"/>
          </w:tcPr>
          <w:p w14:paraId="7F2B4587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color w:val="auto"/>
              </w:rPr>
              <w:t>1</w:t>
            </w:r>
            <w:r>
              <w:rPr>
                <w:color w:val="auto"/>
              </w:rPr>
              <w:t>.</w:t>
            </w:r>
            <w:r w:rsidRPr="00AC1232">
              <w:rPr>
                <w:color w:val="auto"/>
              </w:rPr>
              <w:t>031</w:t>
            </w:r>
          </w:p>
        </w:tc>
        <w:tc>
          <w:tcPr>
            <w:tcW w:w="459" w:type="pct"/>
            <w:vAlign w:val="center"/>
          </w:tcPr>
          <w:p w14:paraId="3A1743EE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123 (79.4)</w:t>
            </w:r>
          </w:p>
        </w:tc>
        <w:tc>
          <w:tcPr>
            <w:tcW w:w="734" w:type="pct"/>
            <w:vAlign w:val="center"/>
          </w:tcPr>
          <w:p w14:paraId="2995CCEA" w14:textId="77777777" w:rsidR="00CA3771" w:rsidRPr="00AC1232" w:rsidRDefault="00CA3771" w:rsidP="00CA37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381 (76.0)</w:t>
            </w:r>
          </w:p>
        </w:tc>
        <w:tc>
          <w:tcPr>
            <w:tcW w:w="507" w:type="pct"/>
            <w:vAlign w:val="center"/>
          </w:tcPr>
          <w:p w14:paraId="72E30379" w14:textId="77777777" w:rsidR="00CA3771" w:rsidRPr="00AC1232" w:rsidRDefault="00CA3771" w:rsidP="00CA37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080</w:t>
            </w:r>
          </w:p>
        </w:tc>
      </w:tr>
      <w:tr w:rsidR="00CA3771" w:rsidRPr="00AC1232" w14:paraId="3DCFAA0E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1CA98540" w14:textId="77777777" w:rsidR="00CA3771" w:rsidRPr="00AC1232" w:rsidRDefault="00CA3771" w:rsidP="00CA3771">
            <w:pPr>
              <w:spacing w:line="276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Pneumonia, No. (%)</w:t>
            </w:r>
          </w:p>
        </w:tc>
        <w:tc>
          <w:tcPr>
            <w:tcW w:w="522" w:type="pct"/>
          </w:tcPr>
          <w:p w14:paraId="2E69AC96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108 (69.7)</w:t>
            </w:r>
          </w:p>
        </w:tc>
        <w:tc>
          <w:tcPr>
            <w:tcW w:w="760" w:type="pct"/>
            <w:vAlign w:val="center"/>
          </w:tcPr>
          <w:p w14:paraId="270EC325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2,648 (54.1)</w:t>
            </w:r>
          </w:p>
        </w:tc>
        <w:tc>
          <w:tcPr>
            <w:tcW w:w="508" w:type="pct"/>
            <w:vAlign w:val="center"/>
          </w:tcPr>
          <w:p w14:paraId="7C61354F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339</w:t>
            </w:r>
          </w:p>
        </w:tc>
        <w:tc>
          <w:tcPr>
            <w:tcW w:w="459" w:type="pct"/>
          </w:tcPr>
          <w:p w14:paraId="384713DB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108 (69.7)</w:t>
            </w:r>
          </w:p>
        </w:tc>
        <w:tc>
          <w:tcPr>
            <w:tcW w:w="734" w:type="pct"/>
            <w:vAlign w:val="center"/>
          </w:tcPr>
          <w:p w14:paraId="19D191A7" w14:textId="77777777" w:rsidR="00CA3771" w:rsidRPr="00AC1232" w:rsidRDefault="00CA3771" w:rsidP="00CA37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338 (67.5)</w:t>
            </w:r>
          </w:p>
        </w:tc>
        <w:tc>
          <w:tcPr>
            <w:tcW w:w="507" w:type="pct"/>
            <w:vAlign w:val="center"/>
          </w:tcPr>
          <w:p w14:paraId="17CD6606" w14:textId="77777777" w:rsidR="00CA3771" w:rsidRPr="00AC1232" w:rsidRDefault="00CA3771" w:rsidP="00CA377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062</w:t>
            </w:r>
          </w:p>
        </w:tc>
      </w:tr>
    </w:tbl>
    <w:p w14:paraId="62BBA590" w14:textId="77777777" w:rsidR="00CA3771" w:rsidRPr="00AC1232" w:rsidRDefault="00CA3771" w:rsidP="00CA3771">
      <w:pPr>
        <w:spacing w:line="360" w:lineRule="auto"/>
        <w:rPr>
          <w:color w:val="000000" w:themeColor="text1"/>
        </w:rPr>
      </w:pPr>
      <w:r w:rsidRPr="00AC1232">
        <w:rPr>
          <w:color w:val="000000" w:themeColor="text1"/>
        </w:rPr>
        <w:t xml:space="preserve">Note. </w:t>
      </w:r>
      <w:bookmarkStart w:id="1" w:name="_Hlk532659257"/>
      <w:r w:rsidRPr="00AC1232">
        <w:rPr>
          <w:color w:val="000000" w:themeColor="text1"/>
        </w:rPr>
        <w:t xml:space="preserve">PS, propensity score; </w:t>
      </w:r>
      <w:r w:rsidRPr="00AC1232">
        <w:rPr>
          <w:color w:val="000000" w:themeColor="text1"/>
          <w:szCs w:val="21"/>
        </w:rPr>
        <w:t>LOS, length of stay; N-CLABSI, non-central line-associated bloodstream infection; SD,</w:t>
      </w:r>
      <w:r w:rsidRPr="00AC1232">
        <w:t xml:space="preserve"> </w:t>
      </w:r>
      <w:r w:rsidRPr="00AC1232">
        <w:rPr>
          <w:color w:val="000000" w:themeColor="text1"/>
          <w:szCs w:val="21"/>
        </w:rPr>
        <w:t>standard deviation; APACHE, Acute Physiology and Chronic Health Evaluation; ICU, intensive care unit; MDRO,</w:t>
      </w:r>
      <w:r w:rsidRPr="00AC1232">
        <w:t xml:space="preserve"> </w:t>
      </w:r>
      <w:r w:rsidRPr="00AC1232">
        <w:rPr>
          <w:color w:val="000000" w:themeColor="text1"/>
          <w:szCs w:val="21"/>
        </w:rPr>
        <w:t xml:space="preserve">multidrug-resistant organism. </w:t>
      </w:r>
      <w:bookmarkEnd w:id="1"/>
    </w:p>
    <w:p w14:paraId="53CB7448" w14:textId="77777777" w:rsidR="00CA3771" w:rsidRPr="00AC1232" w:rsidRDefault="00CA3771" w:rsidP="00CA3771">
      <w:pPr>
        <w:spacing w:line="360" w:lineRule="auto"/>
        <w:rPr>
          <w:color w:val="000000" w:themeColor="text1"/>
        </w:rPr>
      </w:pPr>
      <w:r w:rsidRPr="00AC1232">
        <w:rPr>
          <w:color w:val="000000" w:themeColor="text1"/>
          <w:szCs w:val="21"/>
          <w:vertAlign w:val="superscript"/>
        </w:rPr>
        <w:t>*</w:t>
      </w:r>
      <w:r w:rsidRPr="00AC1232">
        <w:rPr>
          <w:color w:val="000000" w:themeColor="text1"/>
          <w:szCs w:val="21"/>
        </w:rPr>
        <w:t xml:space="preserve"> An absolute value ≤ </w:t>
      </w:r>
      <w:r>
        <w:rPr>
          <w:color w:val="000000" w:themeColor="text1"/>
          <w:szCs w:val="21"/>
        </w:rPr>
        <w:t>0</w:t>
      </w:r>
      <w:r w:rsidRPr="00AC1232">
        <w:rPr>
          <w:color w:val="000000" w:themeColor="text1"/>
          <w:szCs w:val="21"/>
        </w:rPr>
        <w:t>.1 indicates a negligible difference in the mean or prevalence of a covariate between groups.</w:t>
      </w:r>
      <w:r w:rsidRPr="00AC1232">
        <w:rPr>
          <w:color w:val="000000" w:themeColor="text1"/>
        </w:rPr>
        <w:t xml:space="preserve"> </w:t>
      </w:r>
    </w:p>
    <w:p w14:paraId="0C01D383" w14:textId="3F38C85F" w:rsidR="004530EA" w:rsidRPr="00CA3771" w:rsidRDefault="00CA3771" w:rsidP="00CA3771">
      <w:r w:rsidRPr="00AC1232">
        <w:rPr>
          <w:color w:val="000000"/>
          <w:szCs w:val="21"/>
          <w:vertAlign w:val="superscript"/>
        </w:rPr>
        <w:t>†</w:t>
      </w:r>
      <w:r w:rsidRPr="00AC1232">
        <w:rPr>
          <w:color w:val="000000" w:themeColor="text1"/>
          <w:szCs w:val="21"/>
        </w:rPr>
        <w:t xml:space="preserve"> Matching scale is 1:4, calipers value is 0.02.</w:t>
      </w:r>
    </w:p>
    <w:sectPr w:rsidR="004530EA" w:rsidRPr="00CA3771" w:rsidSect="00814E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272BB" w14:textId="77777777" w:rsidR="002C4A43" w:rsidRDefault="002C4A43" w:rsidP="00781C22">
      <w:r>
        <w:separator/>
      </w:r>
    </w:p>
  </w:endnote>
  <w:endnote w:type="continuationSeparator" w:id="0">
    <w:p w14:paraId="6AAA26EC" w14:textId="77777777" w:rsidR="002C4A43" w:rsidRDefault="002C4A43" w:rsidP="0078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D834E" w14:textId="77777777" w:rsidR="002C4A43" w:rsidRDefault="002C4A43" w:rsidP="00781C22">
      <w:r>
        <w:separator/>
      </w:r>
    </w:p>
  </w:footnote>
  <w:footnote w:type="continuationSeparator" w:id="0">
    <w:p w14:paraId="0F646FF1" w14:textId="77777777" w:rsidR="002C4A43" w:rsidRDefault="002C4A43" w:rsidP="00781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4"/>
  </w:docVars>
  <w:rsids>
    <w:rsidRoot w:val="00413136"/>
    <w:rsid w:val="00045953"/>
    <w:rsid w:val="000564E4"/>
    <w:rsid w:val="000E3C6A"/>
    <w:rsid w:val="00105F69"/>
    <w:rsid w:val="00287C24"/>
    <w:rsid w:val="002C4A43"/>
    <w:rsid w:val="003405A3"/>
    <w:rsid w:val="00395DC4"/>
    <w:rsid w:val="00413136"/>
    <w:rsid w:val="00427612"/>
    <w:rsid w:val="004530EA"/>
    <w:rsid w:val="00491D72"/>
    <w:rsid w:val="005A7C3D"/>
    <w:rsid w:val="005C0872"/>
    <w:rsid w:val="00607D6B"/>
    <w:rsid w:val="00781C22"/>
    <w:rsid w:val="007C7AD9"/>
    <w:rsid w:val="00814EAB"/>
    <w:rsid w:val="00937D76"/>
    <w:rsid w:val="00A51E39"/>
    <w:rsid w:val="00A718F2"/>
    <w:rsid w:val="00AD324F"/>
    <w:rsid w:val="00CA3771"/>
    <w:rsid w:val="00CF0E69"/>
    <w:rsid w:val="00E61B8D"/>
    <w:rsid w:val="00ED1D02"/>
    <w:rsid w:val="00F011D8"/>
    <w:rsid w:val="00FB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BE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53"/>
    <w:pPr>
      <w:widowControl w:val="0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1C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1C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1C22"/>
    <w:rPr>
      <w:sz w:val="18"/>
      <w:szCs w:val="18"/>
    </w:rPr>
  </w:style>
  <w:style w:type="table" w:styleId="TableGrid">
    <w:name w:val="Table Grid"/>
    <w:basedOn w:val="TableNormal"/>
    <w:uiPriority w:val="39"/>
    <w:rsid w:val="00781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">
    <w:name w:val="List Table 6 Colorful"/>
    <w:basedOn w:val="TableNormal"/>
    <w:uiPriority w:val="51"/>
    <w:rsid w:val="00814EA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14EA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530EA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53"/>
    <w:pPr>
      <w:widowControl w:val="0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1C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1C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1C22"/>
    <w:rPr>
      <w:sz w:val="18"/>
      <w:szCs w:val="18"/>
    </w:rPr>
  </w:style>
  <w:style w:type="table" w:styleId="TableGrid">
    <w:name w:val="Table Grid"/>
    <w:basedOn w:val="TableNormal"/>
    <w:uiPriority w:val="39"/>
    <w:rsid w:val="00781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">
    <w:name w:val="List Table 6 Colorful"/>
    <w:basedOn w:val="TableNormal"/>
    <w:uiPriority w:val="51"/>
    <w:rsid w:val="00814EA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14EA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530EA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270</Words>
  <Characters>1383</Characters>
  <Application>Microsoft Office Word</Application>
  <DocSecurity>0</DocSecurity>
  <Lines>106</Lines>
  <Paragraphs>110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TTR9</dc:creator>
  <cp:keywords/>
  <dc:description/>
  <cp:lastModifiedBy>AJTUALA</cp:lastModifiedBy>
  <cp:revision>14</cp:revision>
  <dcterms:created xsi:type="dcterms:W3CDTF">2018-12-15T09:15:00Z</dcterms:created>
  <dcterms:modified xsi:type="dcterms:W3CDTF">2019-02-13T00:36:00Z</dcterms:modified>
</cp:coreProperties>
</file>