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898" w:rsidRPr="005C1A62" w:rsidRDefault="00613898" w:rsidP="005C1A62">
      <w:pPr>
        <w:rPr>
          <w:b/>
        </w:rPr>
      </w:pPr>
      <w:r w:rsidRPr="005C1A62">
        <w:rPr>
          <w:b/>
        </w:rPr>
        <w:t xml:space="preserve">Table </w:t>
      </w:r>
      <w:r w:rsidR="00A35724" w:rsidRPr="005C1A62">
        <w:rPr>
          <w:b/>
        </w:rPr>
        <w:t>S</w:t>
      </w:r>
      <w:r w:rsidRPr="005C1A62">
        <w:rPr>
          <w:b/>
        </w:rPr>
        <w:t>2: Biologic and conventional DMARD medications included in the present study</w:t>
      </w:r>
    </w:p>
    <w:tbl>
      <w:tblPr>
        <w:tblW w:w="4044" w:type="dxa"/>
        <w:tblLook w:val="04A0" w:firstRow="1" w:lastRow="0" w:firstColumn="1" w:lastColumn="0" w:noHBand="0" w:noVBand="1"/>
      </w:tblPr>
      <w:tblGrid>
        <w:gridCol w:w="2031"/>
        <w:gridCol w:w="2013"/>
      </w:tblGrid>
      <w:tr w:rsidR="00613898" w:rsidTr="00650EF8">
        <w:trPr>
          <w:trHeight w:val="315"/>
        </w:trPr>
        <w:tc>
          <w:tcPr>
            <w:tcW w:w="2031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Medication</w:t>
            </w:r>
          </w:p>
        </w:tc>
        <w:tc>
          <w:tcPr>
            <w:tcW w:w="2013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Biologic DMARD</w:t>
            </w:r>
          </w:p>
        </w:tc>
      </w:tr>
      <w:tr w:rsidR="00613898" w:rsidTr="00650EF8">
        <w:trPr>
          <w:trHeight w:val="315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Abatacept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Yes</w:t>
            </w:r>
          </w:p>
        </w:tc>
      </w:tr>
      <w:tr w:rsidR="00613898" w:rsidTr="00650EF8">
        <w:trPr>
          <w:trHeight w:val="300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Adalimumab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Yes</w:t>
            </w:r>
          </w:p>
        </w:tc>
      </w:tr>
      <w:tr w:rsidR="00613898" w:rsidTr="00650EF8">
        <w:trPr>
          <w:trHeight w:val="300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Anakinra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Yes</w:t>
            </w:r>
          </w:p>
        </w:tc>
      </w:tr>
      <w:tr w:rsidR="00613898" w:rsidTr="00650EF8">
        <w:trPr>
          <w:trHeight w:val="300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Etanercept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Yes</w:t>
            </w:r>
          </w:p>
        </w:tc>
      </w:tr>
      <w:tr w:rsidR="00613898" w:rsidTr="00650EF8">
        <w:trPr>
          <w:trHeight w:val="315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Golimumab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Yes</w:t>
            </w:r>
          </w:p>
        </w:tc>
      </w:tr>
      <w:tr w:rsidR="00613898" w:rsidTr="00650EF8">
        <w:trPr>
          <w:trHeight w:val="315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Infliximab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Yes</w:t>
            </w:r>
          </w:p>
        </w:tc>
      </w:tr>
      <w:tr w:rsidR="00613898" w:rsidTr="00650EF8">
        <w:trPr>
          <w:trHeight w:val="300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Rituximab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Yes</w:t>
            </w:r>
          </w:p>
        </w:tc>
      </w:tr>
      <w:tr w:rsidR="00613898" w:rsidTr="00650EF8">
        <w:trPr>
          <w:trHeight w:val="300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Tocilizumab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Yes</w:t>
            </w:r>
          </w:p>
        </w:tc>
      </w:tr>
      <w:tr w:rsidR="00613898" w:rsidTr="00650EF8">
        <w:trPr>
          <w:trHeight w:val="300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Azathioprine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No</w:t>
            </w:r>
          </w:p>
        </w:tc>
      </w:tr>
      <w:tr w:rsidR="00613898" w:rsidTr="00650EF8">
        <w:trPr>
          <w:trHeight w:val="300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Chloroquine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No</w:t>
            </w:r>
          </w:p>
        </w:tc>
      </w:tr>
      <w:tr w:rsidR="00613898" w:rsidTr="00650EF8">
        <w:trPr>
          <w:trHeight w:val="300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Cyclosporine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No</w:t>
            </w:r>
          </w:p>
        </w:tc>
      </w:tr>
      <w:tr w:rsidR="00613898" w:rsidTr="00650EF8">
        <w:trPr>
          <w:trHeight w:val="300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Penicillamine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No</w:t>
            </w:r>
          </w:p>
        </w:tc>
      </w:tr>
      <w:tr w:rsidR="00613898" w:rsidTr="00650EF8">
        <w:trPr>
          <w:trHeight w:val="300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Auranofin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No</w:t>
            </w:r>
          </w:p>
        </w:tc>
      </w:tr>
      <w:tr w:rsidR="00613898" w:rsidTr="00650EF8">
        <w:trPr>
          <w:trHeight w:val="300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Hydroxychloroquine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</w:rPr>
              <w:t>No</w:t>
            </w:r>
          </w:p>
        </w:tc>
      </w:tr>
      <w:tr w:rsidR="00613898" w:rsidTr="00650EF8">
        <w:trPr>
          <w:trHeight w:val="300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Leflunomide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No</w:t>
            </w:r>
          </w:p>
        </w:tc>
      </w:tr>
      <w:tr w:rsidR="00613898" w:rsidTr="00650EF8">
        <w:trPr>
          <w:trHeight w:val="300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Methotrexate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No</w:t>
            </w:r>
          </w:p>
        </w:tc>
      </w:tr>
      <w:tr w:rsidR="00613898" w:rsidTr="00650EF8">
        <w:trPr>
          <w:trHeight w:val="300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Minocycline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No</w:t>
            </w:r>
          </w:p>
        </w:tc>
      </w:tr>
      <w:tr w:rsidR="00613898" w:rsidTr="00650EF8">
        <w:trPr>
          <w:trHeight w:val="300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Sulfasalazine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No</w:t>
            </w:r>
          </w:p>
        </w:tc>
      </w:tr>
      <w:tr w:rsidR="00613898" w:rsidTr="00650EF8">
        <w:trPr>
          <w:trHeight w:val="300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Tofacitinib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No</w:t>
            </w:r>
          </w:p>
        </w:tc>
      </w:tr>
      <w:tr w:rsidR="00613898" w:rsidTr="00650EF8">
        <w:trPr>
          <w:trHeight w:val="300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613898" w:rsidRDefault="00613898" w:rsidP="00650EF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Cyclophosphamide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  <w:hideMark/>
          </w:tcPr>
          <w:p w:rsidR="00613898" w:rsidRDefault="00613898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No</w:t>
            </w:r>
          </w:p>
        </w:tc>
      </w:tr>
    </w:tbl>
    <w:p w:rsidR="00613898" w:rsidRPr="00DE0B05" w:rsidRDefault="00613898" w:rsidP="00613898">
      <w:pPr>
        <w:pStyle w:val="references"/>
        <w:numPr>
          <w:ilvl w:val="0"/>
          <w:numId w:val="0"/>
        </w:numPr>
        <w:rPr>
          <w:rFonts w:asciiTheme="minorHAnsi" w:eastAsiaTheme="minorEastAsia" w:hAnsiTheme="minorHAnsi" w:cstheme="minorHAnsi"/>
          <w:noProof w:val="0"/>
          <w:sz w:val="18"/>
          <w:szCs w:val="22"/>
        </w:rPr>
      </w:pPr>
      <w:bookmarkStart w:id="0" w:name="_GoBack"/>
      <w:r w:rsidRPr="00DE0B05">
        <w:rPr>
          <w:rFonts w:asciiTheme="minorHAnsi" w:eastAsiaTheme="minorEastAsia" w:hAnsiTheme="minorHAnsi" w:cstheme="minorHAnsi"/>
          <w:noProof w:val="0"/>
          <w:sz w:val="18"/>
          <w:szCs w:val="22"/>
        </w:rPr>
        <w:t xml:space="preserve"> Medications listed in table are for the non-proprietary name only.</w:t>
      </w:r>
    </w:p>
    <w:bookmarkEnd w:id="0"/>
    <w:p w:rsidR="00021C31" w:rsidRDefault="00021C31"/>
    <w:sectPr w:rsidR="00021C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898"/>
    <w:rsid w:val="00021C31"/>
    <w:rsid w:val="005C1A62"/>
    <w:rsid w:val="00613898"/>
    <w:rsid w:val="00A35724"/>
    <w:rsid w:val="00DE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3D6E7"/>
  <w15:chartTrackingRefBased/>
  <w15:docId w15:val="{B2214E04-CF43-4B6A-B957-643AF734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3898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s">
    <w:name w:val="references"/>
    <w:rsid w:val="00613898"/>
    <w:pPr>
      <w:numPr>
        <w:numId w:val="1"/>
      </w:numPr>
      <w:spacing w:after="50" w:line="180" w:lineRule="exact"/>
      <w:jc w:val="both"/>
    </w:pPr>
    <w:rPr>
      <w:rFonts w:ascii="Times New Roman" w:eastAsia="MS Mincho" w:hAnsi="Times New Roman" w:cs="Times New Roman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437</Characters>
  <Application>Microsoft Office Word</Application>
  <DocSecurity>0</DocSecurity>
  <Lines>3</Lines>
  <Paragraphs>1</Paragraphs>
  <ScaleCrop>false</ScaleCrop>
  <Company>Draper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Benedum, Corey M.</dc:creator>
  <cp:keywords/>
  <dc:description/>
  <cp:lastModifiedBy>Benedum, Corey M.</cp:lastModifiedBy>
  <cp:revision>4</cp:revision>
  <dcterms:created xsi:type="dcterms:W3CDTF">2018-10-23T16:38:00Z</dcterms:created>
  <dcterms:modified xsi:type="dcterms:W3CDTF">2019-03-08T18:29:00Z</dcterms:modified>
</cp:coreProperties>
</file>