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DC" w:rsidRDefault="00047ADC" w:rsidP="00047ADC">
      <w:pPr>
        <w:rPr>
          <w:b/>
        </w:rPr>
      </w:pPr>
      <w:r>
        <w:rPr>
          <w:b/>
        </w:rPr>
        <w:t xml:space="preserve">Table </w:t>
      </w:r>
      <w:r w:rsidR="00792F2F">
        <w:rPr>
          <w:b/>
        </w:rPr>
        <w:t>S</w:t>
      </w:r>
      <w:bookmarkStart w:id="0" w:name="_GoBack"/>
      <w:bookmarkEnd w:id="0"/>
      <w:r>
        <w:rPr>
          <w:b/>
        </w:rPr>
        <w:t xml:space="preserve">7: Sensitivity analysis exploring the potential effect of diagnostic bias among other </w:t>
      </w:r>
      <w:r>
        <w:rPr>
          <w:rFonts w:cstheme="minorHAnsi"/>
          <w:b/>
        </w:rPr>
        <w:t xml:space="preserve">immunocompromised </w:t>
      </w:r>
      <w:r>
        <w:rPr>
          <w:b/>
        </w:rPr>
        <w:t>patients.</w:t>
      </w:r>
    </w:p>
    <w:tbl>
      <w:tblPr>
        <w:tblStyle w:val="TableGrid"/>
        <w:tblW w:w="9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7"/>
        <w:gridCol w:w="310"/>
        <w:gridCol w:w="1751"/>
        <w:gridCol w:w="1020"/>
        <w:gridCol w:w="237"/>
        <w:gridCol w:w="1739"/>
        <w:gridCol w:w="1170"/>
      </w:tblGrid>
      <w:tr w:rsidR="00047ADC" w:rsidRPr="00DA5A58" w:rsidTr="00650EF8">
        <w:trPr>
          <w:trHeight w:val="278"/>
        </w:trPr>
        <w:tc>
          <w:tcPr>
            <w:tcW w:w="342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7ADC" w:rsidRPr="00DA5A58" w:rsidRDefault="00047ADC" w:rsidP="00650EF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Association between other immunocompromised </w:t>
            </w:r>
            <w:r>
              <w:rPr>
                <w:rFonts w:cstheme="minorHAnsi"/>
                <w:b/>
                <w:vertAlign w:val="superscript"/>
              </w:rPr>
              <w:t>A</w:t>
            </w:r>
            <w:r>
              <w:rPr>
                <w:rFonts w:cstheme="minorHAnsi"/>
                <w:b/>
              </w:rPr>
              <w:t xml:space="preserve"> patients and 30-day mortality</w:t>
            </w:r>
          </w:p>
        </w:tc>
        <w:tc>
          <w:tcPr>
            <w:tcW w:w="310" w:type="dxa"/>
            <w:tcBorders>
              <w:top w:val="single" w:sz="12" w:space="0" w:color="auto"/>
            </w:tcBorders>
          </w:tcPr>
          <w:p w:rsidR="00047ADC" w:rsidRDefault="00047ADC" w:rsidP="00650EF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7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7ADC" w:rsidRDefault="00047ADC" w:rsidP="00650EF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Sepsis Cohort</w:t>
            </w:r>
          </w:p>
        </w:tc>
        <w:tc>
          <w:tcPr>
            <w:tcW w:w="237" w:type="dxa"/>
            <w:tcBorders>
              <w:top w:val="single" w:sz="12" w:space="0" w:color="auto"/>
            </w:tcBorders>
          </w:tcPr>
          <w:p w:rsidR="00047ADC" w:rsidRDefault="00047ADC" w:rsidP="00650EF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909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7ADC" w:rsidRDefault="00047ADC" w:rsidP="00650EF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Septic Shock Cohort</w:t>
            </w:r>
          </w:p>
        </w:tc>
      </w:tr>
      <w:tr w:rsidR="00047ADC" w:rsidRPr="00DA5A58" w:rsidTr="00FA21A7">
        <w:trPr>
          <w:trHeight w:val="150"/>
        </w:trPr>
        <w:tc>
          <w:tcPr>
            <w:tcW w:w="342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7ADC" w:rsidRPr="00DA5A58" w:rsidRDefault="00047ADC" w:rsidP="00650EF8">
            <w:pPr>
              <w:rPr>
                <w:rFonts w:cstheme="minorHAnsi"/>
                <w:b/>
              </w:rPr>
            </w:pPr>
          </w:p>
        </w:tc>
        <w:tc>
          <w:tcPr>
            <w:tcW w:w="310" w:type="dxa"/>
            <w:tcBorders>
              <w:bottom w:val="single" w:sz="12" w:space="0" w:color="auto"/>
            </w:tcBorders>
          </w:tcPr>
          <w:p w:rsidR="00047ADC" w:rsidRDefault="00047ADC" w:rsidP="00650EF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7ADC" w:rsidRPr="00DA5A58" w:rsidRDefault="00047ADC" w:rsidP="00650EF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OR (95%CI)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7ADC" w:rsidRPr="00DA5A58" w:rsidRDefault="00047ADC" w:rsidP="00650EF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P-value</w:t>
            </w:r>
          </w:p>
        </w:tc>
        <w:tc>
          <w:tcPr>
            <w:tcW w:w="237" w:type="dxa"/>
            <w:tcBorders>
              <w:bottom w:val="single" w:sz="12" w:space="0" w:color="auto"/>
            </w:tcBorders>
          </w:tcPr>
          <w:p w:rsidR="00047ADC" w:rsidRDefault="00047ADC" w:rsidP="00650EF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7ADC" w:rsidRDefault="00047ADC" w:rsidP="00650EF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OR (95%CI)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7ADC" w:rsidRDefault="00047ADC" w:rsidP="00650EF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P-value</w:t>
            </w:r>
          </w:p>
        </w:tc>
      </w:tr>
      <w:tr w:rsidR="00047ADC" w:rsidTr="00FA21A7">
        <w:trPr>
          <w:trHeight w:val="253"/>
        </w:trPr>
        <w:tc>
          <w:tcPr>
            <w:tcW w:w="3427" w:type="dxa"/>
            <w:tcBorders>
              <w:top w:val="single" w:sz="12" w:space="0" w:color="auto"/>
              <w:bottom w:val="single" w:sz="4" w:space="0" w:color="auto"/>
            </w:tcBorders>
          </w:tcPr>
          <w:p w:rsidR="00047ADC" w:rsidRPr="00BC7191" w:rsidRDefault="00047ADC" w:rsidP="00650EF8">
            <w:pPr>
              <w:rPr>
                <w:rFonts w:cstheme="minorHAnsi"/>
                <w:sz w:val="20"/>
                <w:vertAlign w:val="superscript"/>
              </w:rPr>
            </w:pPr>
            <w:r w:rsidRPr="00BC7191">
              <w:rPr>
                <w:rFonts w:cstheme="minorHAnsi"/>
                <w:sz w:val="20"/>
              </w:rPr>
              <w:t xml:space="preserve">     All potential confounders adjusted </w:t>
            </w:r>
            <w:r>
              <w:rPr>
                <w:rFonts w:cstheme="minorHAnsi"/>
                <w:sz w:val="20"/>
                <w:vertAlign w:val="superscript"/>
              </w:rPr>
              <w:t>B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4" w:space="0" w:color="auto"/>
            </w:tcBorders>
          </w:tcPr>
          <w:p w:rsidR="00047ADC" w:rsidRPr="00427FC9" w:rsidRDefault="00047ADC" w:rsidP="00650EF8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7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7ADC" w:rsidRPr="00BC7191" w:rsidRDefault="00047ADC" w:rsidP="00650EF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1.98 (1.65 – 2.36)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7ADC" w:rsidRPr="00BC7191" w:rsidRDefault="00087D4C" w:rsidP="00650EF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&lt; 0.00</w:t>
            </w:r>
            <w:r w:rsidR="00047ADC">
              <w:rPr>
                <w:rFonts w:cstheme="minorHAnsi"/>
                <w:sz w:val="20"/>
              </w:rPr>
              <w:t>1</w:t>
            </w:r>
          </w:p>
        </w:tc>
        <w:tc>
          <w:tcPr>
            <w:tcW w:w="237" w:type="dxa"/>
            <w:tcBorders>
              <w:top w:val="single" w:sz="12" w:space="0" w:color="auto"/>
              <w:bottom w:val="single" w:sz="4" w:space="0" w:color="auto"/>
            </w:tcBorders>
          </w:tcPr>
          <w:p w:rsidR="00047ADC" w:rsidRPr="00427FC9" w:rsidRDefault="00047ADC" w:rsidP="00650EF8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73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7ADC" w:rsidRPr="00BC7191" w:rsidRDefault="00047ADC" w:rsidP="00650EF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1.66 (1.35 – 2.05)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7ADC" w:rsidRPr="00BC7191" w:rsidRDefault="00087D4C" w:rsidP="00650EF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&lt; 0.00</w:t>
            </w:r>
            <w:r w:rsidR="00047ADC">
              <w:rPr>
                <w:rFonts w:cstheme="minorHAnsi"/>
                <w:sz w:val="20"/>
              </w:rPr>
              <w:t>1</w:t>
            </w:r>
          </w:p>
        </w:tc>
      </w:tr>
      <w:tr w:rsidR="00047ADC" w:rsidTr="00FA21A7">
        <w:trPr>
          <w:trHeight w:val="253"/>
        </w:trPr>
        <w:tc>
          <w:tcPr>
            <w:tcW w:w="3427" w:type="dxa"/>
            <w:tcBorders>
              <w:top w:val="single" w:sz="4" w:space="0" w:color="auto"/>
              <w:bottom w:val="single" w:sz="12" w:space="0" w:color="auto"/>
            </w:tcBorders>
          </w:tcPr>
          <w:p w:rsidR="00047ADC" w:rsidRPr="00BC7191" w:rsidRDefault="00047ADC" w:rsidP="00650EF8">
            <w:pPr>
              <w:rPr>
                <w:rFonts w:cstheme="minorHAnsi"/>
                <w:sz w:val="20"/>
                <w:vertAlign w:val="superscript"/>
              </w:rPr>
            </w:pPr>
            <w:r w:rsidRPr="00BC7191">
              <w:rPr>
                <w:rFonts w:cstheme="minorHAnsi"/>
                <w:sz w:val="20"/>
              </w:rPr>
              <w:t xml:space="preserve">     SOFA score adjusted 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12" w:space="0" w:color="auto"/>
            </w:tcBorders>
          </w:tcPr>
          <w:p w:rsidR="00047ADC" w:rsidRPr="00427FC9" w:rsidRDefault="00047ADC" w:rsidP="00650EF8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47ADC" w:rsidRPr="00BC7191" w:rsidRDefault="00047ADC" w:rsidP="00650EF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2.45 (2.09 – 2.88)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47ADC" w:rsidRPr="00BC7191" w:rsidRDefault="00087D4C" w:rsidP="00650EF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&lt; 0.00</w:t>
            </w:r>
            <w:r w:rsidR="00047ADC">
              <w:rPr>
                <w:rFonts w:cstheme="minorHAnsi"/>
                <w:sz w:val="20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bottom w:val="single" w:sz="12" w:space="0" w:color="auto"/>
            </w:tcBorders>
          </w:tcPr>
          <w:p w:rsidR="00047ADC" w:rsidRPr="00427FC9" w:rsidRDefault="00047ADC" w:rsidP="00650EF8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47ADC" w:rsidRPr="00BC7191" w:rsidRDefault="00047ADC" w:rsidP="00650EF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2.11 (1.75 – 2.56)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47ADC" w:rsidRPr="00BC7191" w:rsidRDefault="00087D4C" w:rsidP="00087D4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&lt; 0.001</w:t>
            </w:r>
          </w:p>
        </w:tc>
      </w:tr>
    </w:tbl>
    <w:p w:rsidR="00047ADC" w:rsidRPr="00650EF8" w:rsidRDefault="00047ADC" w:rsidP="00047ADC">
      <w:pPr>
        <w:rPr>
          <w:rFonts w:eastAsia="Times New Roman" w:cstheme="minorHAnsi"/>
          <w:color w:val="000000"/>
          <w:sz w:val="20"/>
          <w:szCs w:val="20"/>
        </w:rPr>
      </w:pPr>
      <w:r w:rsidRPr="00BC7191">
        <w:rPr>
          <w:rFonts w:cs="Calibri"/>
          <w:sz w:val="18"/>
          <w:vertAlign w:val="superscript"/>
        </w:rPr>
        <w:t>A</w:t>
      </w:r>
      <w:r>
        <w:rPr>
          <w:rFonts w:cs="Calibri"/>
          <w:sz w:val="18"/>
        </w:rPr>
        <w:t xml:space="preserve"> Immunocompromised patients (N = 532; 30-day mortality = 54.5</w:t>
      </w:r>
      <w:r w:rsidR="00087D4C">
        <w:rPr>
          <w:rFonts w:cs="Calibri"/>
          <w:sz w:val="18"/>
        </w:rPr>
        <w:t>1</w:t>
      </w:r>
      <w:r>
        <w:rPr>
          <w:rFonts w:cs="Calibri"/>
          <w:sz w:val="18"/>
        </w:rPr>
        <w:t>%)</w:t>
      </w:r>
      <w:r>
        <w:rPr>
          <w:rFonts w:cs="Calibri"/>
          <w:sz w:val="18"/>
          <w:vertAlign w:val="superscript"/>
        </w:rPr>
        <w:t xml:space="preserve"> </w:t>
      </w:r>
      <w:r>
        <w:rPr>
          <w:rFonts w:cs="Calibri"/>
          <w:sz w:val="18"/>
        </w:rPr>
        <w:t>were defined as patients with the following immunosuppressive conditions: HIV/</w:t>
      </w:r>
      <w:r w:rsidRPr="0073006A">
        <w:rPr>
          <w:rFonts w:cs="Calibri"/>
          <w:sz w:val="18"/>
        </w:rPr>
        <w:t>AIDS</w:t>
      </w:r>
      <w:r>
        <w:rPr>
          <w:rFonts w:cs="Calibri"/>
          <w:sz w:val="18"/>
        </w:rPr>
        <w:t xml:space="preserve"> (N= 13)</w:t>
      </w:r>
      <w:r w:rsidRPr="0073006A">
        <w:rPr>
          <w:rFonts w:cs="Calibri"/>
          <w:sz w:val="18"/>
        </w:rPr>
        <w:t>, lymphoma</w:t>
      </w:r>
      <w:r>
        <w:rPr>
          <w:rFonts w:cs="Calibri"/>
          <w:sz w:val="18"/>
        </w:rPr>
        <w:t xml:space="preserve"> (N = 106)</w:t>
      </w:r>
      <w:r w:rsidRPr="0073006A">
        <w:rPr>
          <w:rFonts w:cs="Calibri"/>
          <w:sz w:val="18"/>
        </w:rPr>
        <w:t>, metastatic cancer</w:t>
      </w:r>
      <w:r>
        <w:rPr>
          <w:rFonts w:cs="Calibri"/>
          <w:sz w:val="18"/>
        </w:rPr>
        <w:t xml:space="preserve"> (N = 247)</w:t>
      </w:r>
      <w:r w:rsidRPr="0073006A">
        <w:rPr>
          <w:rFonts w:cs="Calibri"/>
          <w:sz w:val="18"/>
        </w:rPr>
        <w:t>, and solid-state tumors</w:t>
      </w:r>
      <w:r>
        <w:rPr>
          <w:rFonts w:cs="Calibri"/>
          <w:sz w:val="18"/>
        </w:rPr>
        <w:t xml:space="preserve"> (N = 174) </w:t>
      </w:r>
      <w:r>
        <w:rPr>
          <w:rFonts w:cs="Calibri"/>
          <w:sz w:val="18"/>
        </w:rPr>
        <w:br/>
      </w:r>
      <w:r>
        <w:rPr>
          <w:rFonts w:cs="Calibri"/>
          <w:sz w:val="18"/>
          <w:vertAlign w:val="superscript"/>
        </w:rPr>
        <w:t>B</w:t>
      </w:r>
      <w:r w:rsidRPr="00BC7191">
        <w:rPr>
          <w:rFonts w:cs="Calibri"/>
          <w:sz w:val="18"/>
        </w:rPr>
        <w:t xml:space="preserve"> OR adjusted for: age, </w:t>
      </w:r>
      <w:r>
        <w:rPr>
          <w:rFonts w:cs="Calibri"/>
          <w:sz w:val="18"/>
        </w:rPr>
        <w:t xml:space="preserve">sex, race, </w:t>
      </w:r>
      <w:r w:rsidRPr="00BC7191">
        <w:rPr>
          <w:rFonts w:cs="Calibri"/>
          <w:sz w:val="18"/>
        </w:rPr>
        <w:t xml:space="preserve">SOFA score at ICU admission, Elixhauser comorbidity index, </w:t>
      </w:r>
      <w:r w:rsidRPr="005C0514">
        <w:rPr>
          <w:rFonts w:cs="Calibri"/>
          <w:sz w:val="18"/>
        </w:rPr>
        <w:t xml:space="preserve">pre-admission </w:t>
      </w:r>
      <w:r>
        <w:rPr>
          <w:rFonts w:cs="Calibri"/>
          <w:sz w:val="18"/>
        </w:rPr>
        <w:t>chronic DMARD or prednisone us</w:t>
      </w:r>
      <w:r w:rsidRPr="005C0514">
        <w:rPr>
          <w:rFonts w:cs="Calibri"/>
          <w:sz w:val="18"/>
        </w:rPr>
        <w:t>e</w:t>
      </w:r>
      <w:r>
        <w:rPr>
          <w:rFonts w:cs="Calibri"/>
          <w:sz w:val="18"/>
        </w:rPr>
        <w:t>,</w:t>
      </w:r>
      <w:r w:rsidRPr="00740B94">
        <w:rPr>
          <w:rFonts w:cs="Calibri"/>
          <w:sz w:val="18"/>
        </w:rPr>
        <w:t xml:space="preserve"> </w:t>
      </w:r>
      <w:r w:rsidRPr="00BC7191">
        <w:rPr>
          <w:rFonts w:cs="Calibri"/>
          <w:sz w:val="18"/>
        </w:rPr>
        <w:t>ICU care unit</w:t>
      </w:r>
      <w:r>
        <w:rPr>
          <w:rFonts w:cs="Calibri"/>
          <w:sz w:val="18"/>
        </w:rPr>
        <w:t>, Documented bacteremia and infection site</w:t>
      </w:r>
    </w:p>
    <w:p w:rsidR="00021C31" w:rsidRDefault="00021C31"/>
    <w:sectPr w:rsidR="00021C31" w:rsidSect="00650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047ADC"/>
    <w:rsid w:val="00021C31"/>
    <w:rsid w:val="00047ADC"/>
    <w:rsid w:val="00087D4C"/>
    <w:rsid w:val="00792F2F"/>
    <w:rsid w:val="00FA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DC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7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DC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7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36</Lines>
  <Paragraphs>22</Paragraphs>
  <ScaleCrop>false</ScaleCrop>
  <Company>Draper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Benedum, Corey M.</dc:creator>
  <cp:keywords/>
  <dc:description/>
  <cp:lastModifiedBy>MATUBLE</cp:lastModifiedBy>
  <cp:revision>4</cp:revision>
  <dcterms:created xsi:type="dcterms:W3CDTF">2018-10-23T16:40:00Z</dcterms:created>
  <dcterms:modified xsi:type="dcterms:W3CDTF">2019-02-14T18:10:00Z</dcterms:modified>
</cp:coreProperties>
</file>