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59" w:rsidRDefault="002C265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447675</wp:posOffset>
            </wp:positionH>
            <wp:positionV relativeFrom="paragraph">
              <wp:posOffset>457200</wp:posOffset>
            </wp:positionV>
            <wp:extent cx="4856480" cy="4676775"/>
            <wp:effectExtent l="0" t="0" r="127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467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659" w:rsidRPr="002C2659" w:rsidRDefault="002C2659" w:rsidP="002C2659"/>
    <w:p w:rsidR="002C2659" w:rsidRPr="009E26E7" w:rsidRDefault="002C2659" w:rsidP="002C2659">
      <w:pPr>
        <w:spacing w:line="480" w:lineRule="auto"/>
        <w:jc w:val="both"/>
        <w:rPr>
          <w:color w:val="000000"/>
        </w:rPr>
      </w:pPr>
      <w:r>
        <w:tab/>
      </w:r>
      <w:r>
        <w:rPr>
          <w:b/>
          <w:color w:val="000000"/>
        </w:rPr>
        <w:t>Fig</w:t>
      </w:r>
      <w:r w:rsidR="003A0C6E">
        <w:rPr>
          <w:b/>
          <w:color w:val="000000"/>
        </w:rPr>
        <w:t>ure</w:t>
      </w:r>
      <w:r>
        <w:rPr>
          <w:b/>
          <w:color w:val="000000"/>
        </w:rPr>
        <w:t xml:space="preserve"> </w:t>
      </w:r>
      <w:r w:rsidR="003A0C6E">
        <w:rPr>
          <w:b/>
          <w:color w:val="000000"/>
        </w:rPr>
        <w:t>S</w:t>
      </w:r>
      <w:bookmarkStart w:id="0" w:name="_GoBack"/>
      <w:bookmarkEnd w:id="0"/>
      <w:r>
        <w:rPr>
          <w:b/>
          <w:color w:val="000000"/>
        </w:rPr>
        <w:t>5</w:t>
      </w:r>
      <w:r w:rsidRPr="009E26E7">
        <w:rPr>
          <w:b/>
          <w:color w:val="000000"/>
        </w:rPr>
        <w:t xml:space="preserve"> </w:t>
      </w:r>
      <w:r w:rsidRPr="009E26E7">
        <w:rPr>
          <w:i/>
          <w:color w:val="000000"/>
        </w:rPr>
        <w:t xml:space="preserve">Confirmation of adipose tissue-specific ATGL knockout. </w:t>
      </w:r>
      <w:r w:rsidRPr="009E26E7">
        <w:rPr>
          <w:color w:val="000000"/>
        </w:rPr>
        <w:t>Markers of adipose tissue specific ATGL knockout (AAKO) were assessed in overweight/obese (Ob) wild-type (WT) and knockout mice. (</w:t>
      </w:r>
      <w:r w:rsidRPr="009E26E7">
        <w:rPr>
          <w:b/>
          <w:color w:val="000000"/>
        </w:rPr>
        <w:t>a</w:t>
      </w:r>
      <w:r w:rsidRPr="009E26E7">
        <w:rPr>
          <w:color w:val="000000"/>
        </w:rPr>
        <w:t xml:space="preserve">) Relative mRNA expression of </w:t>
      </w:r>
      <w:r w:rsidRPr="009E26E7">
        <w:rPr>
          <w:i/>
          <w:color w:val="000000"/>
        </w:rPr>
        <w:t xml:space="preserve">Pnpla2/Atgl </w:t>
      </w:r>
      <w:r w:rsidRPr="009E26E7">
        <w:rPr>
          <w:color w:val="000000"/>
        </w:rPr>
        <w:t>in visceral (visc.) and subcutaneous (s.c.) adipose tissue (AT), muscle and liver. (</w:t>
      </w:r>
      <w:r w:rsidRPr="009E26E7">
        <w:rPr>
          <w:b/>
          <w:color w:val="000000"/>
        </w:rPr>
        <w:t>b</w:t>
      </w:r>
      <w:r w:rsidRPr="009E26E7">
        <w:rPr>
          <w:color w:val="000000"/>
        </w:rPr>
        <w:t>) Summation of visc., s.c., and epididymal AT depot weights after 5 days, as percentage of initial body weight. (</w:t>
      </w:r>
      <w:r w:rsidRPr="009E26E7">
        <w:rPr>
          <w:b/>
          <w:color w:val="000000"/>
        </w:rPr>
        <w:t>c</w:t>
      </w:r>
      <w:r w:rsidRPr="009E26E7">
        <w:rPr>
          <w:color w:val="000000"/>
        </w:rPr>
        <w:t>) Plasma glycerol concentration. (</w:t>
      </w:r>
      <w:r w:rsidRPr="009E26E7">
        <w:rPr>
          <w:b/>
          <w:color w:val="000000"/>
        </w:rPr>
        <w:t>d</w:t>
      </w:r>
      <w:r w:rsidRPr="009E26E7">
        <w:rPr>
          <w:color w:val="000000"/>
        </w:rPr>
        <w:t>) E</w:t>
      </w:r>
      <w:r w:rsidRPr="009E26E7">
        <w:rPr>
          <w:i/>
          <w:color w:val="000000"/>
        </w:rPr>
        <w:t xml:space="preserve">x vivo </w:t>
      </w:r>
      <w:r w:rsidRPr="009E26E7">
        <w:rPr>
          <w:color w:val="000000"/>
        </w:rPr>
        <w:t>glycerol release per epididymal AT explant mass. (</w:t>
      </w:r>
      <w:r w:rsidRPr="009E26E7">
        <w:rPr>
          <w:b/>
          <w:color w:val="000000"/>
        </w:rPr>
        <w:t>e</w:t>
      </w:r>
      <w:r w:rsidRPr="009E26E7">
        <w:rPr>
          <w:color w:val="000000"/>
        </w:rPr>
        <w:t>) Plasma free fatty acid (FFA) concentration. (</w:t>
      </w:r>
      <w:r w:rsidRPr="009E26E7">
        <w:rPr>
          <w:b/>
          <w:color w:val="000000"/>
        </w:rPr>
        <w:t>f</w:t>
      </w:r>
      <w:r w:rsidRPr="009E26E7">
        <w:rPr>
          <w:color w:val="000000"/>
        </w:rPr>
        <w:t xml:space="preserve">) Relative mRNA expression of genes involved in hepatic fatty acid oxidation. Gene expression data are normalized to </w:t>
      </w:r>
      <w:r w:rsidRPr="009E26E7">
        <w:rPr>
          <w:i/>
          <w:color w:val="000000"/>
        </w:rPr>
        <w:t xml:space="preserve">Rn18s </w:t>
      </w:r>
      <w:r w:rsidRPr="009E26E7">
        <w:rPr>
          <w:color w:val="000000"/>
        </w:rPr>
        <w:t xml:space="preserve">or </w:t>
      </w:r>
      <w:r w:rsidRPr="009E26E7">
        <w:rPr>
          <w:i/>
          <w:color w:val="000000"/>
        </w:rPr>
        <w:t xml:space="preserve">Hprt </w:t>
      </w:r>
      <w:r w:rsidRPr="009E26E7">
        <w:rPr>
          <w:color w:val="000000"/>
        </w:rPr>
        <w:t xml:space="preserve">and presented relative to the mean of WT Ob healthy controls (Ctrl). For all panels: Ob </w:t>
      </w:r>
      <w:r w:rsidRPr="009E26E7">
        <w:rPr>
          <w:color w:val="000000"/>
        </w:rPr>
        <w:lastRenderedPageBreak/>
        <w:t xml:space="preserve">Ctrl: WT n=19, AAKO n=18; Ob Sepsis: WT n=19, AAKO n=17. Data are mean </w:t>
      </w:r>
      <w:r w:rsidRPr="009E26E7">
        <w:rPr>
          <w:rFonts w:cs="Calibri"/>
          <w:color w:val="000000"/>
        </w:rPr>
        <w:t xml:space="preserve">± </w:t>
      </w:r>
      <w:r w:rsidRPr="009E26E7">
        <w:rPr>
          <w:color w:val="000000"/>
        </w:rPr>
        <w:t>SEM. P-values determined through Wilcoxon or Student’s t Test [Wilcoxon p-values: (</w:t>
      </w:r>
      <w:r w:rsidRPr="009E26E7">
        <w:rPr>
          <w:b/>
          <w:color w:val="000000"/>
        </w:rPr>
        <w:t>a</w:t>
      </w:r>
      <w:r w:rsidRPr="009E26E7">
        <w:rPr>
          <w:color w:val="000000"/>
        </w:rPr>
        <w:t>) visc. AT p&lt;0.0001, s.c. AT p&lt;0.0001, muscle p&lt;0.0001, liver p=0.002, (</w:t>
      </w:r>
      <w:r w:rsidRPr="009E26E7">
        <w:rPr>
          <w:b/>
          <w:color w:val="000000"/>
        </w:rPr>
        <w:t>d</w:t>
      </w:r>
      <w:r w:rsidRPr="009E26E7">
        <w:rPr>
          <w:color w:val="000000"/>
        </w:rPr>
        <w:t>) p&lt;0.0001, (</w:t>
      </w:r>
      <w:r w:rsidRPr="009E26E7">
        <w:rPr>
          <w:b/>
          <w:color w:val="000000"/>
        </w:rPr>
        <w:t>f</w:t>
      </w:r>
      <w:r w:rsidRPr="009E26E7">
        <w:rPr>
          <w:color w:val="000000"/>
        </w:rPr>
        <w:t xml:space="preserve">) </w:t>
      </w:r>
      <w:r w:rsidRPr="009E26E7">
        <w:rPr>
          <w:i/>
          <w:color w:val="000000"/>
        </w:rPr>
        <w:t>Ppara</w:t>
      </w:r>
      <w:r w:rsidRPr="009E26E7">
        <w:rPr>
          <w:color w:val="000000"/>
        </w:rPr>
        <w:t xml:space="preserve"> p=0.0002, </w:t>
      </w:r>
      <w:r w:rsidRPr="009E26E7">
        <w:rPr>
          <w:i/>
          <w:color w:val="000000"/>
        </w:rPr>
        <w:t>Cd36</w:t>
      </w:r>
      <w:r w:rsidRPr="009E26E7">
        <w:rPr>
          <w:color w:val="000000"/>
        </w:rPr>
        <w:t xml:space="preserve"> p&lt;0.0001, </w:t>
      </w:r>
      <w:r w:rsidRPr="009E26E7">
        <w:rPr>
          <w:i/>
          <w:color w:val="000000"/>
        </w:rPr>
        <w:t>Cpt1a</w:t>
      </w:r>
      <w:r w:rsidRPr="009E26E7">
        <w:rPr>
          <w:color w:val="000000"/>
        </w:rPr>
        <w:t xml:space="preserve"> p=0.01; ANOVA p-values: (</w:t>
      </w:r>
      <w:r w:rsidRPr="009E26E7">
        <w:rPr>
          <w:b/>
          <w:color w:val="000000"/>
        </w:rPr>
        <w:t>b</w:t>
      </w:r>
      <w:r w:rsidRPr="009E26E7">
        <w:rPr>
          <w:color w:val="000000"/>
        </w:rPr>
        <w:t>) p&lt;0.0001, (</w:t>
      </w:r>
      <w:r w:rsidRPr="009E26E7">
        <w:rPr>
          <w:b/>
          <w:color w:val="000000"/>
        </w:rPr>
        <w:t>c</w:t>
      </w:r>
      <w:r w:rsidRPr="009E26E7">
        <w:rPr>
          <w:color w:val="000000"/>
        </w:rPr>
        <w:t>) p&lt;0.0001, (</w:t>
      </w:r>
      <w:r w:rsidRPr="009E26E7">
        <w:rPr>
          <w:b/>
          <w:color w:val="000000"/>
        </w:rPr>
        <w:t>e</w:t>
      </w:r>
      <w:r w:rsidRPr="009E26E7">
        <w:rPr>
          <w:color w:val="000000"/>
        </w:rPr>
        <w:t>) p=0.003, (</w:t>
      </w:r>
      <w:r w:rsidRPr="009E26E7">
        <w:rPr>
          <w:b/>
          <w:color w:val="000000"/>
        </w:rPr>
        <w:t>f</w:t>
      </w:r>
      <w:r w:rsidRPr="009E26E7">
        <w:rPr>
          <w:color w:val="000000"/>
        </w:rPr>
        <w:t xml:space="preserve">) </w:t>
      </w:r>
      <w:r w:rsidRPr="009E26E7">
        <w:rPr>
          <w:i/>
          <w:color w:val="000000"/>
        </w:rPr>
        <w:t>Acadl</w:t>
      </w:r>
      <w:r w:rsidRPr="009E26E7">
        <w:rPr>
          <w:color w:val="000000"/>
        </w:rPr>
        <w:t xml:space="preserve"> p=0.9, </w:t>
      </w:r>
      <w:r w:rsidRPr="009E26E7">
        <w:rPr>
          <w:i/>
          <w:color w:val="000000"/>
        </w:rPr>
        <w:t>Hadha</w:t>
      </w:r>
      <w:r w:rsidRPr="009E26E7">
        <w:rPr>
          <w:color w:val="000000"/>
        </w:rPr>
        <w:t xml:space="preserve"> p=0.07]. § p≤0.05, §§ p≤0.01, §§§ p≤0.001 between Ctrl and Sepsis, * p≤0.05, ** p≤0.01, ***p≤0.001 between Sepsis groups</w:t>
      </w:r>
    </w:p>
    <w:p w:rsidR="00A15941" w:rsidRPr="002C2659" w:rsidRDefault="00A15941" w:rsidP="002C2659"/>
    <w:sectPr w:rsidR="00A15941" w:rsidRPr="002C26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C2659"/>
    <w:rsid w:val="0020318F"/>
    <w:rsid w:val="002C2659"/>
    <w:rsid w:val="003A0C6E"/>
    <w:rsid w:val="00793D4C"/>
    <w:rsid w:val="007E7DB5"/>
    <w:rsid w:val="008462E1"/>
    <w:rsid w:val="009729AC"/>
    <w:rsid w:val="00A15941"/>
    <w:rsid w:val="00CB0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B5"/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</w:style>
  <w:style w:type="paragraph" w:styleId="ListParagraph">
    <w:name w:val="List Paragraph"/>
    <w:basedOn w:val="Normal"/>
    <w:uiPriority w:val="34"/>
    <w:qFormat/>
    <w:rsid w:val="007E7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DB5"/>
  </w:style>
  <w:style w:type="paragraph" w:styleId="Heading1">
    <w:name w:val="heading 1"/>
    <w:basedOn w:val="Normal"/>
    <w:next w:val="Normal"/>
    <w:link w:val="Heading1Char"/>
    <w:uiPriority w:val="9"/>
    <w:qFormat/>
    <w:rsid w:val="008462E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62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62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rsid w:val="008462E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olorfulGrid-Accent1Char">
    <w:name w:val="Colorful Grid - Accent 1 Char"/>
    <w:link w:val="ColorfulGrid-Accent11"/>
    <w:uiPriority w:val="29"/>
    <w:rsid w:val="008462E1"/>
    <w:rPr>
      <w:i/>
      <w:iCs/>
      <w:color w:val="404040"/>
      <w:sz w:val="22"/>
      <w:szCs w:val="22"/>
    </w:rPr>
  </w:style>
  <w:style w:type="paragraph" w:customStyle="1" w:styleId="bodytext">
    <w:name w:val="bodytext"/>
    <w:link w:val="bodytextChar"/>
    <w:rsid w:val="008462E1"/>
    <w:pPr>
      <w:spacing w:after="120" w:line="260" w:lineRule="exact"/>
      <w:jc w:val="both"/>
    </w:pPr>
    <w:rPr>
      <w:rFonts w:ascii="Times New Roman" w:eastAsia="Times New Roman" w:hAnsi="Times New Roman"/>
      <w:sz w:val="22"/>
    </w:rPr>
  </w:style>
  <w:style w:type="character" w:customStyle="1" w:styleId="bodytextChar">
    <w:name w:val="bodytext Char"/>
    <w:link w:val="bodytext"/>
    <w:rsid w:val="008462E1"/>
    <w:rPr>
      <w:rFonts w:ascii="Times New Roman" w:eastAsia="Times New Roman" w:hAnsi="Times New Roman"/>
      <w:sz w:val="22"/>
      <w:szCs w:val="24"/>
    </w:rPr>
  </w:style>
  <w:style w:type="paragraph" w:customStyle="1" w:styleId="References">
    <w:name w:val="References"/>
    <w:uiPriority w:val="2"/>
    <w:rsid w:val="008462E1"/>
    <w:pPr>
      <w:spacing w:after="60"/>
      <w:ind w:left="454" w:hanging="454"/>
    </w:pPr>
    <w:rPr>
      <w:rFonts w:ascii="Times New Roman" w:eastAsia="Times New Roman" w:hAnsi="Times New Roman"/>
      <w:szCs w:val="48"/>
      <w:lang w:val="sv-SE" w:eastAsia="sv-SE"/>
    </w:rPr>
  </w:style>
  <w:style w:type="paragraph" w:customStyle="1" w:styleId="MediumGrid21">
    <w:name w:val="Medium Grid 21"/>
    <w:uiPriority w:val="1"/>
    <w:rsid w:val="008462E1"/>
    <w:rPr>
      <w:rFonts w:ascii="Garamond" w:eastAsia="Garamond" w:hAnsi="Garamond"/>
      <w:sz w:val="22"/>
      <w:szCs w:val="22"/>
      <w:lang w:val="sv-SE"/>
    </w:rPr>
  </w:style>
  <w:style w:type="paragraph" w:customStyle="1" w:styleId="ColorfulList-Accent11">
    <w:name w:val="Colorful List - Accent 11"/>
    <w:basedOn w:val="Normal"/>
    <w:uiPriority w:val="34"/>
    <w:rsid w:val="008462E1"/>
    <w:pPr>
      <w:ind w:left="1304"/>
    </w:pPr>
  </w:style>
  <w:style w:type="character" w:customStyle="1" w:styleId="Heading1Char">
    <w:name w:val="Heading 1 Char"/>
    <w:link w:val="Heading1"/>
    <w:uiPriority w:val="9"/>
    <w:rsid w:val="008462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8462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ong">
    <w:name w:val="Strong"/>
    <w:uiPriority w:val="22"/>
    <w:qFormat/>
    <w:rsid w:val="008462E1"/>
    <w:rPr>
      <w:b/>
      <w:bCs/>
    </w:rPr>
  </w:style>
  <w:style w:type="character" w:styleId="Emphasis">
    <w:name w:val="Emphasis"/>
    <w:uiPriority w:val="20"/>
    <w:qFormat/>
    <w:rsid w:val="008462E1"/>
    <w:rPr>
      <w:i/>
      <w:iCs/>
    </w:rPr>
  </w:style>
  <w:style w:type="paragraph" w:styleId="NoSpacing">
    <w:name w:val="No Spacing"/>
    <w:basedOn w:val="Normal"/>
    <w:uiPriority w:val="1"/>
    <w:qFormat/>
    <w:rsid w:val="008462E1"/>
  </w:style>
  <w:style w:type="paragraph" w:styleId="ListParagraph">
    <w:name w:val="List Paragraph"/>
    <w:basedOn w:val="Normal"/>
    <w:uiPriority w:val="34"/>
    <w:qFormat/>
    <w:rsid w:val="007E7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GSABORDO</cp:lastModifiedBy>
  <cp:revision>3</cp:revision>
  <dcterms:created xsi:type="dcterms:W3CDTF">2019-06-06T06:01:00Z</dcterms:created>
  <dcterms:modified xsi:type="dcterms:W3CDTF">2019-06-06T16:20:00Z</dcterms:modified>
</cp:coreProperties>
</file>