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Di default"/>
        <w:pageBreakBefore w:val="1"/>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line="360" w:lineRule="auto"/>
        <w:ind w:left="0" w:right="0" w:firstLine="283"/>
        <w:jc w:val="both"/>
        <w:rPr>
          <w:rFonts w:ascii="Times New Roman" w:hAnsi="Times New Roman"/>
          <w:sz w:val="24"/>
          <w:szCs w:val="24"/>
          <w:u w:color="000000"/>
          <w:rtl w:val="0"/>
          <w:lang w:val="en-US"/>
        </w:rPr>
      </w:pPr>
    </w:p>
    <w:p>
      <w:pPr>
        <w:pStyle w:val="Di 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line="360" w:lineRule="auto"/>
        <w:ind w:left="0" w:right="0" w:firstLine="283"/>
        <w:jc w:val="both"/>
        <w:rPr>
          <w:rFonts w:ascii="Times New Roman" w:hAnsi="Times New Roman"/>
          <w:sz w:val="24"/>
          <w:szCs w:val="24"/>
          <w:u w:color="000000"/>
          <w:rtl w:val="0"/>
          <w:lang w:val="en-US"/>
        </w:rPr>
      </w:pPr>
    </w:p>
    <w:p>
      <w:pPr>
        <w:pStyle w:val="Di 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line="360" w:lineRule="auto"/>
        <w:ind w:left="0" w:right="0" w:firstLine="283"/>
        <w:jc w:val="both"/>
        <w:rPr>
          <w:rFonts w:ascii="Times New Roman" w:hAnsi="Times New Roman"/>
          <w:sz w:val="24"/>
          <w:szCs w:val="24"/>
          <w:u w:color="000000"/>
          <w:rtl w:val="0"/>
          <w:lang w:val="en-US"/>
        </w:rPr>
      </w:pPr>
    </w:p>
    <w:tbl>
      <w:tblPr>
        <w:tblW w:w="940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380"/>
        <w:gridCol w:w="1252"/>
        <w:gridCol w:w="1001"/>
        <w:gridCol w:w="1481"/>
        <w:gridCol w:w="1228"/>
        <w:gridCol w:w="1530"/>
        <w:gridCol w:w="1530"/>
      </w:tblGrid>
      <w:tr>
        <w:tblPrEx>
          <w:shd w:val="clear" w:color="auto" w:fill="4f81bd"/>
        </w:tblPrEx>
        <w:trPr>
          <w:trHeight w:val="310" w:hRule="atLeast"/>
          <w:tblHeader/>
        </w:trPr>
        <w:tc>
          <w:tcPr>
            <w:tcW w:type="dxa" w:w="7872"/>
            <w:gridSpan w:val="6"/>
            <w:tcBorders>
              <w:top w:val="nil"/>
              <w:left w:val="nil"/>
              <w:bottom w:val="nil"/>
              <w:right w:val="nil"/>
            </w:tcBorders>
            <w:shd w:val="clear" w:color="auto" w:fill="ffffff"/>
            <w:tcMar>
              <w:top w:type="dxa" w:w="80"/>
              <w:left w:type="dxa" w:w="80"/>
              <w:bottom w:type="dxa" w:w="80"/>
              <w:right w:type="dxa" w:w="80"/>
            </w:tcMar>
            <w:vAlign w:val="center"/>
          </w:tcPr>
          <w:p/>
        </w:tc>
        <w:tc>
          <w:tcPr>
            <w:tcW w:type="dxa" w:w="1530"/>
            <w:tcBorders>
              <w:top w:val="nil"/>
              <w:left w:val="nil"/>
              <w:bottom w:val="nil"/>
              <w:right w:val="nil"/>
            </w:tcBorders>
            <w:shd w:val="clear" w:color="auto" w:fill="ffffff"/>
            <w:tcMar>
              <w:top w:type="dxa" w:w="80"/>
              <w:left w:type="dxa" w:w="80"/>
              <w:bottom w:type="dxa" w:w="80"/>
              <w:right w:type="dxa" w:w="80"/>
            </w:tcMar>
            <w:vAlign w:val="center"/>
          </w:tcPr>
          <w:p/>
        </w:tc>
      </w:tr>
      <w:tr>
        <w:tblPrEx>
          <w:shd w:val="clear" w:color="auto" w:fill="ced7e7"/>
        </w:tblPrEx>
        <w:trPr>
          <w:trHeight w:val="1270" w:hRule="atLeast"/>
        </w:trPr>
        <w:tc>
          <w:tcPr>
            <w:tcW w:type="dxa" w:w="1380"/>
            <w:tcBorders>
              <w:top w:val="nil"/>
              <w:left w:val="nil"/>
              <w:bottom w:val="single" w:color="000000" w:sz="16" w:space="0" w:shadow="0" w:frame="0"/>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center"/>
              <w:rPr>
                <w:rtl w:val="0"/>
              </w:rPr>
            </w:pPr>
            <w:r>
              <w:rPr>
                <w:rFonts w:ascii="Times New Roman" w:hAnsi="Times New Roman"/>
                <w:b w:val="1"/>
                <w:bCs w:val="1"/>
                <w:sz w:val="16"/>
                <w:szCs w:val="16"/>
                <w:u w:color="000000"/>
                <w:rtl w:val="0"/>
                <w:lang w:val="en-US"/>
              </w:rPr>
              <w:t>Author, Year, Country</w:t>
            </w:r>
          </w:p>
        </w:tc>
        <w:tc>
          <w:tcPr>
            <w:tcW w:type="dxa" w:w="1252"/>
            <w:tcBorders>
              <w:top w:val="nil"/>
              <w:left w:val="nil"/>
              <w:bottom w:val="single" w:color="000000" w:sz="16" w:space="0" w:shadow="0" w:frame="0"/>
              <w:right w:val="nil"/>
            </w:tcBorders>
            <w:shd w:val="clear" w:color="auto" w:fill="ffffff"/>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Blinding of participant and personel</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(performance</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 xml:space="preserve"> bias)</w:t>
            </w:r>
          </w:p>
        </w:tc>
        <w:tc>
          <w:tcPr>
            <w:tcW w:type="dxa" w:w="1001"/>
            <w:tcBorders>
              <w:top w:val="nil"/>
              <w:left w:val="nil"/>
              <w:bottom w:val="single" w:color="000000" w:sz="16" w:space="0" w:shadow="0" w:frame="0"/>
              <w:right w:val="nil"/>
            </w:tcBorders>
            <w:shd w:val="clear" w:color="auto" w:fill="ffffff"/>
            <w:tcMar>
              <w:top w:type="dxa" w:w="80"/>
              <w:left w:type="dxa" w:w="80"/>
              <w:bottom w:type="dxa" w:w="80"/>
              <w:right w:type="dxa" w:w="112"/>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32"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Random sequence generation</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32"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(selection bias)</w:t>
            </w:r>
          </w:p>
        </w:tc>
        <w:tc>
          <w:tcPr>
            <w:tcW w:type="dxa" w:w="1480"/>
            <w:tcBorders>
              <w:top w:val="nil"/>
              <w:left w:val="nil"/>
              <w:bottom w:val="single" w:color="000000" w:sz="16" w:space="0" w:shadow="0" w:frame="0"/>
              <w:right w:val="nil"/>
            </w:tcBorders>
            <w:shd w:val="clear" w:color="auto" w:fill="ffffff"/>
            <w:tcMar>
              <w:top w:type="dxa" w:w="80"/>
              <w:left w:type="dxa" w:w="80"/>
              <w:bottom w:type="dxa" w:w="80"/>
              <w:right w:type="dxa" w:w="119"/>
            </w:tcMar>
            <w:vAlign w:val="top"/>
          </w:tcPr>
          <w:p>
            <w:pPr>
              <w:keepNext w:val="0"/>
              <w:keepLines w:val="0"/>
              <w:pageBreakBefore w:val="0"/>
              <w:widowControl w:val="1"/>
              <w:shd w:val="clear" w:color="auto" w:fill="auto"/>
              <w:tabs>
                <w:tab w:val="left" w:pos="809"/>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39"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Allocation concealment</w:t>
            </w:r>
          </w:p>
          <w:p>
            <w:pPr>
              <w:keepNext w:val="0"/>
              <w:keepLines w:val="0"/>
              <w:pageBreakBefore w:val="0"/>
              <w:widowControl w:val="1"/>
              <w:shd w:val="clear" w:color="auto" w:fill="auto"/>
              <w:tabs>
                <w:tab w:val="left" w:pos="809"/>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39"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(selection bias)</w:t>
            </w:r>
          </w:p>
        </w:tc>
        <w:tc>
          <w:tcPr>
            <w:tcW w:type="dxa" w:w="1228"/>
            <w:tcBorders>
              <w:top w:val="nil"/>
              <w:left w:val="nil"/>
              <w:bottom w:val="single" w:color="000000" w:sz="16" w:space="0" w:shadow="0" w:frame="0"/>
              <w:right w:val="nil"/>
            </w:tcBorders>
            <w:shd w:val="clear" w:color="auto" w:fill="ffffff"/>
            <w:tcMar>
              <w:top w:type="dxa" w:w="80"/>
              <w:left w:type="dxa" w:w="80"/>
              <w:bottom w:type="dxa" w:w="80"/>
              <w:right w:type="dxa" w:w="116"/>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36"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Outcome assessment</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36"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(detection</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36"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 xml:space="preserve"> bias)</w:t>
            </w:r>
          </w:p>
        </w:tc>
        <w:tc>
          <w:tcPr>
            <w:tcW w:type="dxa" w:w="1530"/>
            <w:tcBorders>
              <w:top w:val="nil"/>
              <w:left w:val="nil"/>
              <w:bottom w:val="single" w:color="000000" w:sz="16" w:space="0" w:shadow="0" w:frame="0"/>
              <w:right w:val="nil"/>
            </w:tcBorders>
            <w:shd w:val="clear" w:color="auto" w:fill="ffffff"/>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Incomple</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 xml:space="preserve">outcome </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 xml:space="preserve">data </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1"/>
                <w:position w:val="0"/>
                <w:sz w:val="16"/>
                <w:szCs w:val="16"/>
                <w:u w:val="none" w:color="000000"/>
                <w:vertAlign w:val="baseline"/>
                <w:rtl w:val="0"/>
                <w:lang w:val="en-US"/>
              </w:rPr>
              <w:t>(attrition bias)</w:t>
            </w:r>
          </w:p>
        </w:tc>
        <w:tc>
          <w:tcPr>
            <w:tcW w:type="dxa" w:w="1530"/>
            <w:tcBorders>
              <w:top w:val="nil"/>
              <w:left w:val="nil"/>
              <w:bottom w:val="single" w:color="515151" w:sz="16"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14"/>
                <w:szCs w:val="14"/>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14"/>
                <w:szCs w:val="14"/>
                <w:u w:val="none" w:color="000000"/>
                <w:vertAlign w:val="baseline"/>
                <w:rtl w:val="0"/>
                <w:lang w:val="en-US"/>
              </w:rPr>
              <w:t>Selective reporting</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14"/>
                <w:szCs w:val="14"/>
                <w:u w:val="none" w:color="000000"/>
                <w:vertAlign w:val="baseline"/>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14"/>
                <w:szCs w:val="14"/>
                <w:u w:val="none" w:color="000000"/>
                <w:vertAlign w:val="baseline"/>
                <w:rtl w:val="0"/>
                <w:lang w:val="en-US"/>
              </w:rPr>
              <w:t xml:space="preserve">(reportig </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14"/>
                <w:szCs w:val="14"/>
                <w:u w:val="none" w:color="000000"/>
                <w:vertAlign w:val="baseline"/>
                <w:rtl w:val="0"/>
                <w:lang w:val="en-US"/>
              </w:rPr>
              <w:t>bias)</w:t>
            </w:r>
          </w:p>
        </w:tc>
      </w:tr>
      <w:tr>
        <w:tblPrEx>
          <w:shd w:val="clear" w:color="auto" w:fill="ced7e7"/>
        </w:tblPrEx>
        <w:trPr>
          <w:trHeight w:val="423" w:hRule="atLeast"/>
        </w:trPr>
        <w:tc>
          <w:tcPr>
            <w:tcW w:type="dxa" w:w="1380"/>
            <w:tcBorders>
              <w:top w:val="single" w:color="000000" w:sz="16" w:space="0" w:shadow="0" w:frame="0"/>
              <w:left w:val="nil"/>
              <w:bottom w:val="nil"/>
              <w:right w:val="nil"/>
            </w:tcBorders>
            <w:shd w:val="clear" w:color="auto" w:fill="ffffff"/>
            <w:tcMar>
              <w:top w:type="dxa" w:w="80"/>
              <w:left w:type="dxa" w:w="80"/>
              <w:bottom w:type="dxa" w:w="80"/>
              <w:right w:type="dxa" w:w="80"/>
            </w:tcMar>
            <w:vAlign w:val="top"/>
          </w:tcPr>
          <w:p>
            <w:pPr>
              <w:pStyle w:val="Di default"/>
              <w:keepLines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Bartha et al</w:t>
            </w:r>
            <w:r>
              <w:rPr>
                <w:rFonts w:ascii="Times New Roman" w:hAnsi="Times New Roman"/>
                <w:sz w:val="16"/>
                <w:szCs w:val="16"/>
                <w:u w:color="000000"/>
                <w:rtl w:val="0"/>
                <w:lang w:val="en-US"/>
              </w:rPr>
              <w:t xml:space="preserve"> </w:t>
            </w:r>
            <w:r>
              <w:rPr>
                <w:rFonts w:ascii="Times New Roman" w:hAnsi="Times New Roman"/>
                <w:sz w:val="16"/>
                <w:szCs w:val="16"/>
                <w:u w:color="000000"/>
                <w:vertAlign w:val="superscript"/>
                <w:rtl w:val="0"/>
                <w:lang w:val="it-IT"/>
              </w:rPr>
              <w:t>17</w:t>
            </w:r>
          </w:p>
          <w:p>
            <w:pPr>
              <w:pStyle w:val="Di default"/>
              <w:keepLines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2013, Europe</w:t>
            </w:r>
          </w:p>
        </w:tc>
        <w:tc>
          <w:tcPr>
            <w:tcW w:type="dxa" w:w="1252"/>
            <w:tcBorders>
              <w:top w:val="single" w:color="000000" w:sz="16" w:space="0" w:shadow="0" w:frame="0"/>
              <w:left w:val="nil"/>
              <w:bottom w:val="nil"/>
              <w:right w:val="nil"/>
            </w:tcBorders>
            <w:shd w:val="clear" w:color="auto" w:fill="ffffff"/>
            <w:tcMar>
              <w:top w:type="dxa" w:w="80"/>
              <w:left w:type="dxa" w:w="80"/>
              <w:bottom w:type="dxa" w:w="80"/>
              <w:right w:type="dxa" w:w="80"/>
            </w:tcMar>
            <w:vAlign w:val="top"/>
          </w:tcPr>
          <w:p/>
        </w:tc>
        <w:tc>
          <w:tcPr>
            <w:tcW w:type="dxa" w:w="1001"/>
            <w:tcBorders>
              <w:top w:val="single" w:color="000000" w:sz="16" w:space="0" w:shadow="0" w:frame="0"/>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single" w:color="000000" w:sz="16" w:space="0" w:shadow="0" w:frame="0"/>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single" w:color="000000" w:sz="16" w:space="0" w:shadow="0" w:frame="0"/>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single" w:color="000000" w:sz="16" w:space="0" w:shadow="0" w:frame="0"/>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single" w:color="515151" w:sz="16" w:space="0" w:shadow="0" w:frame="0"/>
              <w:left w:val="nil"/>
              <w:bottom w:val="nil"/>
              <w:right w:val="nil"/>
            </w:tcBorders>
            <w:shd w:val="clear" w:color="auto" w:fill="auto"/>
            <w:tcMar>
              <w:top w:type="dxa" w:w="80"/>
              <w:left w:type="dxa" w:w="80"/>
              <w:bottom w:type="dxa" w:w="80"/>
              <w:right w:type="dxa" w:w="497"/>
            </w:tcMar>
            <w:vAlign w:val="top"/>
          </w:tcPr>
          <w:p>
            <w:pPr>
              <w:pStyle w:val="Di default"/>
              <w:keepLines w:val="1"/>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keepLines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en-US"/>
              </w:rPr>
              <w:t xml:space="preserve">Bender et al </w:t>
            </w:r>
            <w:r>
              <w:rPr>
                <w:rFonts w:ascii="Times New Roman" w:hAnsi="Times New Roman"/>
                <w:sz w:val="16"/>
                <w:szCs w:val="16"/>
                <w:u w:color="000000"/>
                <w:vertAlign w:val="superscript"/>
                <w:rtl w:val="0"/>
                <w:lang w:val="it-IT"/>
              </w:rPr>
              <w:t>18</w:t>
            </w:r>
          </w:p>
          <w:p>
            <w:pPr>
              <w:pStyle w:val="Di default"/>
              <w:keepLines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1997, USA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228"/>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keepLines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Benes et al </w:t>
            </w:r>
            <w:r>
              <w:rPr>
                <w:rFonts w:ascii="Times New Roman" w:hAnsi="Times New Roman"/>
                <w:sz w:val="16"/>
                <w:szCs w:val="16"/>
                <w:u w:color="000000"/>
                <w:vertAlign w:val="superscript"/>
                <w:rtl w:val="0"/>
                <w:lang w:val="it-IT"/>
              </w:rPr>
              <w:t>19</w:t>
            </w:r>
          </w:p>
          <w:p>
            <w:pPr>
              <w:pStyle w:val="Di default"/>
              <w:keepLines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2010,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pStyle w:val="Di default"/>
              <w:keepLines w:val="1"/>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keepLines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vertAlign w:val="superscript"/>
                <w:rtl w:val="0"/>
              </w:rPr>
            </w:pPr>
            <w:r>
              <w:rPr>
                <w:rFonts w:ascii="Times New Roman" w:hAnsi="Times New Roman"/>
                <w:sz w:val="16"/>
                <w:szCs w:val="16"/>
                <w:u w:color="000000"/>
                <w:vertAlign w:val="baseline"/>
                <w:rtl w:val="0"/>
                <w:lang w:val="it-IT"/>
              </w:rPr>
              <w:t xml:space="preserve">Benes et al  </w:t>
            </w:r>
            <w:r>
              <w:rPr>
                <w:rFonts w:ascii="Times New Roman" w:hAnsi="Times New Roman"/>
                <w:sz w:val="16"/>
                <w:szCs w:val="16"/>
                <w:u w:color="000000"/>
                <w:vertAlign w:val="superscript"/>
                <w:rtl w:val="0"/>
                <w:lang w:val="it-IT"/>
              </w:rPr>
              <w:t>20</w:t>
            </w:r>
          </w:p>
          <w:p>
            <w:pPr>
              <w:pStyle w:val="Di default"/>
              <w:keepLines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2015,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pStyle w:val="Di default"/>
              <w:keepLines w:val="1"/>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Berlauk et al </w:t>
            </w:r>
            <w:r>
              <w:rPr>
                <w:rFonts w:ascii="Times New Roman" w:hAnsi="Times New Roman"/>
                <w:sz w:val="16"/>
                <w:szCs w:val="16"/>
                <w:u w:color="000000"/>
                <w:vertAlign w:val="superscript"/>
                <w:rtl w:val="0"/>
                <w:lang w:val="it-IT"/>
              </w:rPr>
              <w:t>21</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1991, USA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tl w:val="0"/>
              </w:rPr>
            </w:pPr>
            <w:r>
              <w:rPr>
                <w:rFonts w:ascii="Times New Roman" w:hAnsi="Times New Roman"/>
                <w:b w:val="0"/>
                <w:bCs w:val="0"/>
                <w:sz w:val="16"/>
                <w:szCs w:val="16"/>
                <w:u w:color="000000"/>
                <w:rtl w:val="0"/>
                <w:lang w:val="it-IT"/>
              </w:rPr>
              <w:t xml:space="preserve">Bisgaard  et al </w:t>
            </w:r>
            <w:r>
              <w:rPr>
                <w:rFonts w:ascii="Times New Roman" w:hAnsi="Times New Roman"/>
                <w:b w:val="0"/>
                <w:bCs w:val="0"/>
                <w:sz w:val="16"/>
                <w:szCs w:val="16"/>
                <w:u w:color="000000"/>
                <w:vertAlign w:val="superscript"/>
                <w:rtl w:val="0"/>
                <w:lang w:val="it-IT"/>
              </w:rPr>
              <w:t xml:space="preserve">22 </w:t>
            </w:r>
            <w:r>
              <w:rPr>
                <w:rFonts w:ascii="Times New Roman" w:hAnsi="Times New Roman"/>
                <w:b w:val="0"/>
                <w:bCs w:val="0"/>
                <w:sz w:val="16"/>
                <w:szCs w:val="16"/>
                <w:u w:color="000000"/>
                <w:rtl w:val="0"/>
                <w:lang w:val="it-IT"/>
              </w:rPr>
              <w:t>2013,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Bisgaard et al </w:t>
            </w:r>
            <w:r>
              <w:rPr>
                <w:rFonts w:ascii="Times New Roman" w:hAnsi="Times New Roman"/>
                <w:sz w:val="16"/>
                <w:szCs w:val="16"/>
                <w:u w:color="000000"/>
                <w:vertAlign w:val="superscript"/>
                <w:rtl w:val="0"/>
                <w:lang w:val="it-IT"/>
              </w:rPr>
              <w:t>23</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2013, Europe</w:t>
            </w:r>
          </w:p>
        </w:tc>
        <w:tc>
          <w:tcPr>
            <w:tcW w:type="dxa" w:w="1252"/>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Bishop et al </w:t>
            </w:r>
            <w:r>
              <w:rPr>
                <w:rFonts w:ascii="Times New Roman" w:hAnsi="Times New Roman"/>
                <w:sz w:val="16"/>
                <w:szCs w:val="16"/>
                <w:u w:color="000000"/>
                <w:vertAlign w:val="superscript"/>
                <w:rtl w:val="0"/>
                <w:lang w:val="it-IT"/>
              </w:rPr>
              <w:t>24</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1995, USA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40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Bonazzi et al </w:t>
            </w:r>
            <w:r>
              <w:rPr>
                <w:rFonts w:ascii="Times New Roman" w:hAnsi="Times New Roman"/>
                <w:sz w:val="16"/>
                <w:szCs w:val="16"/>
                <w:u w:color="000000"/>
                <w:vertAlign w:val="superscript"/>
                <w:rtl w:val="0"/>
                <w:lang w:val="it-IT"/>
              </w:rPr>
              <w:t>25</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2002,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647"/>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567" w:right="417" w:firstLine="227"/>
              <w:jc w:val="center"/>
              <w:rPr>
                <w:rtl w:val="0"/>
              </w:rPr>
            </w:pPr>
            <w:r>
              <w:rPr>
                <w:rFonts w:ascii="Times New Roman" w:hAnsi="Times New Roman"/>
                <w:b w:val="1"/>
                <w:bCs w:val="1"/>
                <w:color w:val="16ca1e"/>
                <w:kern w:val="1"/>
                <w:sz w:val="32"/>
                <w:szCs w:val="32"/>
                <w:u w:color="16ca1e"/>
                <w:rtl w:val="0"/>
                <w:lang w:val="en-US"/>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Helvetica" w:hAnsi="Helvetica"/>
                <w:b w:val="1"/>
                <w:bCs w:val="1"/>
                <w:color w:val="ff0000"/>
                <w:sz w:val="32"/>
                <w:szCs w:val="32"/>
                <w:u w:color="ff0000"/>
                <w:rtl w:val="0"/>
                <w:lang w:val="de-DE"/>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Boyd et al </w:t>
            </w:r>
            <w:r>
              <w:rPr>
                <w:rFonts w:ascii="Times New Roman" w:hAnsi="Times New Roman"/>
                <w:sz w:val="16"/>
                <w:szCs w:val="16"/>
                <w:u w:color="000000"/>
                <w:vertAlign w:val="superscript"/>
                <w:rtl w:val="0"/>
                <w:lang w:val="it-IT"/>
              </w:rPr>
              <w:t>26</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1993,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228"/>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vertAlign w:val="superscript"/>
                <w:rtl w:val="0"/>
              </w:rPr>
            </w:pPr>
            <w:r>
              <w:rPr>
                <w:rFonts w:ascii="Times New Roman" w:hAnsi="Times New Roman"/>
                <w:sz w:val="16"/>
                <w:szCs w:val="16"/>
                <w:u w:color="000000"/>
                <w:vertAlign w:val="baseline"/>
                <w:rtl w:val="0"/>
                <w:lang w:val="it-IT"/>
              </w:rPr>
              <w:t xml:space="preserve">Buettner et al </w:t>
            </w:r>
            <w:r>
              <w:rPr>
                <w:rFonts w:ascii="Times New Roman" w:hAnsi="Times New Roman"/>
                <w:sz w:val="16"/>
                <w:szCs w:val="16"/>
                <w:u w:color="000000"/>
                <w:vertAlign w:val="superscript"/>
                <w:rtl w:val="0"/>
                <w:lang w:val="it-IT"/>
              </w:rPr>
              <w:t>27</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2008,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Cecconi et al </w:t>
            </w:r>
            <w:r>
              <w:rPr>
                <w:rFonts w:ascii="Times New Roman" w:hAnsi="Times New Roman"/>
                <w:sz w:val="16"/>
                <w:szCs w:val="16"/>
                <w:u w:color="000000"/>
                <w:vertAlign w:val="superscript"/>
                <w:rtl w:val="0"/>
                <w:lang w:val="it-IT"/>
              </w:rPr>
              <w:t>28</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 xml:space="preserve">2011, Europe </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da-DK"/>
              </w:rPr>
              <w:t>Challand et al</w:t>
            </w:r>
            <w:r>
              <w:rPr>
                <w:rFonts w:ascii="Times New Roman" w:hAnsi="Times New Roman"/>
                <w:sz w:val="16"/>
                <w:szCs w:val="16"/>
                <w:u w:color="000000"/>
                <w:rtl w:val="0"/>
                <w:lang w:val="it-IT"/>
              </w:rPr>
              <w:t xml:space="preserve"> </w:t>
            </w:r>
            <w:r>
              <w:rPr>
                <w:rFonts w:ascii="Times New Roman" w:hAnsi="Times New Roman"/>
                <w:sz w:val="16"/>
                <w:szCs w:val="16"/>
                <w:u w:color="000000"/>
                <w:vertAlign w:val="superscript"/>
                <w:rtl w:val="0"/>
                <w:lang w:val="it-IT"/>
              </w:rPr>
              <w:t>29</w:t>
            </w:r>
          </w:p>
          <w:p>
            <w:pPr>
              <w:pStyle w:val="Di 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uppressAutoHyphens w:val="1"/>
              <w:jc w:val="left"/>
            </w:pPr>
            <w:r>
              <w:rPr>
                <w:rFonts w:ascii="Times New Roman" w:hAnsi="Times New Roman"/>
                <w:b w:val="0"/>
                <w:bCs w:val="0"/>
                <w:sz w:val="16"/>
                <w:szCs w:val="16"/>
                <w:u w:color="000000"/>
                <w:rtl w:val="0"/>
                <w:lang w:val="en-US"/>
              </w:rPr>
              <w:t>2013,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Chytra et al </w:t>
            </w:r>
            <w:r>
              <w:rPr>
                <w:rFonts w:ascii="Times New Roman" w:hAnsi="Times New Roman"/>
                <w:sz w:val="16"/>
                <w:szCs w:val="16"/>
                <w:u w:color="000000"/>
                <w:vertAlign w:val="superscript"/>
                <w:rtl w:val="0"/>
                <w:lang w:val="it-IT"/>
              </w:rPr>
              <w:t>30</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2007,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9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Colantonio et al </w:t>
            </w:r>
            <w:r>
              <w:rPr>
                <w:rFonts w:ascii="Times New Roman" w:hAnsi="Times New Roman"/>
                <w:sz w:val="16"/>
                <w:szCs w:val="16"/>
                <w:u w:color="000000"/>
                <w:vertAlign w:val="superscript"/>
                <w:rtl w:val="0"/>
                <w:lang w:val="it-IT"/>
              </w:rPr>
              <w:t>31</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2015,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1"/>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6"/>
                <w:tab w:val="left" w:pos="9132"/>
              </w:tabs>
              <w:suppressAutoHyphens w:val="0"/>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en-US"/>
              </w:rPr>
              <w:t>+</w:t>
            </w:r>
          </w:p>
        </w:tc>
      </w:tr>
      <w:tr>
        <w:tblPrEx>
          <w:shd w:val="clear" w:color="auto" w:fill="ced7e7"/>
        </w:tblPrEx>
        <w:trPr>
          <w:trHeight w:val="55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Correa-Gallego et al </w:t>
            </w:r>
            <w:r>
              <w:rPr>
                <w:rFonts w:ascii="Times New Roman" w:hAnsi="Times New Roman"/>
                <w:sz w:val="16"/>
                <w:szCs w:val="16"/>
                <w:u w:color="000000"/>
                <w:vertAlign w:val="superscript"/>
                <w:rtl w:val="0"/>
                <w:lang w:val="it-IT"/>
              </w:rPr>
              <w:t>32</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2015, USA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color w:val="020000"/>
                <w:sz w:val="16"/>
                <w:szCs w:val="16"/>
                <w:u w:color="020000"/>
                <w:rtl w:val="0"/>
              </w:rPr>
            </w:pPr>
            <w:r>
              <w:rPr>
                <w:rFonts w:ascii="Times New Roman" w:hAnsi="Times New Roman"/>
                <w:color w:val="020000"/>
                <w:sz w:val="16"/>
                <w:szCs w:val="16"/>
                <w:u w:color="020000"/>
                <w:rtl w:val="0"/>
                <w:lang w:val="it-IT"/>
              </w:rPr>
              <w:t xml:space="preserve">Donati et al </w:t>
            </w:r>
            <w:r>
              <w:rPr>
                <w:rFonts w:ascii="Times New Roman" w:hAnsi="Times New Roman"/>
                <w:color w:val="020000"/>
                <w:sz w:val="16"/>
                <w:szCs w:val="16"/>
                <w:u w:color="020000"/>
                <w:vertAlign w:val="superscript"/>
                <w:rtl w:val="0"/>
                <w:lang w:val="it-IT"/>
              </w:rPr>
              <w:t>33</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color w:val="020000"/>
                <w:sz w:val="16"/>
                <w:szCs w:val="16"/>
                <w:u w:color="020000"/>
                <w:rtl w:val="0"/>
                <w:lang w:val="it-IT"/>
              </w:rPr>
              <w:t>2007,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color w:val="020000"/>
                <w:sz w:val="16"/>
                <w:szCs w:val="16"/>
                <w:u w:color="020000"/>
                <w:rtl w:val="0"/>
              </w:rPr>
            </w:pPr>
            <w:r>
              <w:rPr>
                <w:rFonts w:ascii="Times New Roman" w:hAnsi="Times New Roman"/>
                <w:color w:val="020000"/>
                <w:sz w:val="16"/>
                <w:szCs w:val="16"/>
                <w:u w:color="020000"/>
                <w:rtl w:val="0"/>
                <w:lang w:val="it-IT"/>
              </w:rPr>
              <w:t xml:space="preserve">Elgendy et al </w:t>
            </w:r>
            <w:r>
              <w:rPr>
                <w:rFonts w:ascii="Times New Roman" w:hAnsi="Times New Roman"/>
                <w:color w:val="020000"/>
                <w:sz w:val="16"/>
                <w:szCs w:val="16"/>
                <w:u w:color="020000"/>
                <w:vertAlign w:val="superscript"/>
                <w:rtl w:val="0"/>
                <w:lang w:val="it-IT"/>
              </w:rPr>
              <w:t>34</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color w:val="020000"/>
                <w:sz w:val="16"/>
                <w:szCs w:val="16"/>
                <w:u w:color="020000"/>
                <w:rtl w:val="0"/>
                <w:lang w:val="it-IT"/>
              </w:rPr>
              <w:t>2017, Africa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Forget et al </w:t>
            </w:r>
            <w:r>
              <w:rPr>
                <w:rFonts w:ascii="Times New Roman" w:hAnsi="Times New Roman"/>
                <w:sz w:val="16"/>
                <w:szCs w:val="16"/>
                <w:u w:color="000000"/>
                <w:vertAlign w:val="superscript"/>
                <w:rtl w:val="0"/>
                <w:lang w:val="it-IT"/>
              </w:rPr>
              <w:t>35</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2011,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Funk et al </w:t>
            </w:r>
            <w:r>
              <w:rPr>
                <w:rFonts w:ascii="Times New Roman" w:hAnsi="Times New Roman"/>
                <w:sz w:val="16"/>
                <w:szCs w:val="16"/>
                <w:u w:color="000000"/>
                <w:vertAlign w:val="superscript"/>
                <w:rtl w:val="0"/>
                <w:lang w:val="it-IT"/>
              </w:rPr>
              <w:t>36</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2015, USA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1"/>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06"/>
                <w:tab w:val="left" w:pos="9132"/>
              </w:tabs>
              <w:suppressAutoHyphens w:val="0"/>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Gan et al </w:t>
            </w:r>
            <w:r>
              <w:rPr>
                <w:rFonts w:ascii="Times New Roman" w:hAnsi="Times New Roman"/>
                <w:sz w:val="16"/>
                <w:szCs w:val="16"/>
                <w:u w:color="000000"/>
                <w:vertAlign w:val="superscript"/>
                <w:rtl w:val="0"/>
                <w:lang w:val="it-IT"/>
              </w:rPr>
              <w:t>37</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2002, USA</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Goepfert et al </w:t>
            </w:r>
            <w:r>
              <w:rPr>
                <w:rFonts w:ascii="Times New Roman" w:hAnsi="Times New Roman"/>
                <w:sz w:val="16"/>
                <w:szCs w:val="16"/>
                <w:u w:color="000000"/>
                <w:vertAlign w:val="superscript"/>
                <w:rtl w:val="0"/>
                <w:lang w:val="it-IT"/>
              </w:rPr>
              <w:t>38</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2013,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5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Gomez-Izquierdo et al </w:t>
            </w:r>
            <w:r>
              <w:rPr>
                <w:rFonts w:ascii="Times New Roman" w:hAnsi="Times New Roman"/>
                <w:sz w:val="16"/>
                <w:szCs w:val="16"/>
                <w:u w:color="000000"/>
                <w:vertAlign w:val="superscript"/>
                <w:rtl w:val="0"/>
                <w:lang w:val="it-IT"/>
              </w:rPr>
              <w:t>39</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2017, Canada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Harten et al </w:t>
            </w:r>
            <w:r>
              <w:rPr>
                <w:rFonts w:ascii="Times New Roman" w:hAnsi="Times New Roman"/>
                <w:sz w:val="16"/>
                <w:szCs w:val="16"/>
                <w:u w:color="000000"/>
                <w:vertAlign w:val="superscript"/>
                <w:rtl w:val="0"/>
                <w:lang w:val="it-IT"/>
              </w:rPr>
              <w:t>40</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2008,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Jammer et al </w:t>
            </w:r>
            <w:r>
              <w:rPr>
                <w:rFonts w:ascii="Times New Roman" w:hAnsi="Times New Roman"/>
                <w:sz w:val="16"/>
                <w:szCs w:val="16"/>
                <w:u w:color="000000"/>
                <w:vertAlign w:val="superscript"/>
                <w:rtl w:val="0"/>
                <w:lang w:val="it-IT"/>
              </w:rPr>
              <w:t>41</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2010,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Jhanii et al </w:t>
            </w:r>
            <w:r>
              <w:rPr>
                <w:rFonts w:ascii="Times New Roman" w:hAnsi="Times New Roman"/>
                <w:sz w:val="16"/>
                <w:szCs w:val="16"/>
                <w:u w:color="000000"/>
                <w:vertAlign w:val="superscript"/>
                <w:rtl w:val="0"/>
                <w:lang w:val="it-IT"/>
              </w:rPr>
              <w:t>42</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2010,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en-US"/>
              </w:rPr>
              <w:t xml:space="preserve">Jones et al </w:t>
            </w:r>
            <w:r>
              <w:rPr>
                <w:rFonts w:ascii="Times New Roman" w:hAnsi="Times New Roman"/>
                <w:sz w:val="16"/>
                <w:szCs w:val="16"/>
                <w:u w:color="000000"/>
                <w:vertAlign w:val="superscript"/>
                <w:rtl w:val="0"/>
                <w:lang w:val="it-IT"/>
              </w:rPr>
              <w:t>43</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en-US"/>
              </w:rPr>
              <w:t>2013,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Kapoor et al</w:t>
            </w:r>
            <w:r>
              <w:rPr>
                <w:rFonts w:ascii="Times New Roman" w:hAnsi="Times New Roman"/>
                <w:sz w:val="16"/>
                <w:szCs w:val="16"/>
                <w:u w:color="000000"/>
                <w:rtl w:val="0"/>
                <w:lang w:val="en-US"/>
              </w:rPr>
              <w:t xml:space="preserve"> </w:t>
            </w:r>
            <w:r>
              <w:rPr>
                <w:rFonts w:ascii="Times New Roman" w:hAnsi="Times New Roman"/>
                <w:sz w:val="16"/>
                <w:szCs w:val="16"/>
                <w:u w:color="000000"/>
                <w:vertAlign w:val="superscript"/>
                <w:rtl w:val="0"/>
                <w:lang w:val="it-IT"/>
              </w:rPr>
              <w:t>44</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2008, India</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9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Kaufmann et al </w:t>
            </w:r>
            <w:r>
              <w:rPr>
                <w:rFonts w:ascii="Times New Roman" w:hAnsi="Times New Roman"/>
                <w:sz w:val="16"/>
                <w:szCs w:val="16"/>
                <w:u w:color="000000"/>
                <w:vertAlign w:val="superscript"/>
                <w:rtl w:val="0"/>
                <w:lang w:val="it-IT"/>
              </w:rPr>
              <w:t>45</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2017,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Lai et al </w:t>
            </w:r>
            <w:r>
              <w:rPr>
                <w:rFonts w:ascii="Times New Roman" w:hAnsi="Times New Roman"/>
                <w:sz w:val="16"/>
                <w:szCs w:val="16"/>
                <w:u w:color="000000"/>
                <w:vertAlign w:val="superscript"/>
                <w:rtl w:val="0"/>
                <w:lang w:val="it-IT"/>
              </w:rPr>
              <w:t>46</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2015,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Lobo et al </w:t>
            </w:r>
            <w:r>
              <w:rPr>
                <w:rFonts w:ascii="Times New Roman" w:hAnsi="Times New Roman"/>
                <w:sz w:val="16"/>
                <w:szCs w:val="16"/>
                <w:u w:color="000000"/>
                <w:vertAlign w:val="superscript"/>
                <w:rtl w:val="0"/>
                <w:lang w:val="it-IT"/>
              </w:rPr>
              <w:t xml:space="preserve">47 </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2000, Brazil</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Luo et al </w:t>
            </w:r>
            <w:r>
              <w:rPr>
                <w:rFonts w:ascii="Times New Roman" w:hAnsi="Times New Roman"/>
                <w:sz w:val="16"/>
                <w:szCs w:val="16"/>
                <w:u w:color="000000"/>
                <w:vertAlign w:val="superscript"/>
                <w:rtl w:val="0"/>
                <w:lang w:val="it-IT"/>
              </w:rPr>
              <w:t xml:space="preserve">48 </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2017, China</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Mayer et al </w:t>
            </w:r>
            <w:r>
              <w:rPr>
                <w:rFonts w:ascii="Times New Roman" w:hAnsi="Times New Roman"/>
                <w:sz w:val="16"/>
                <w:szCs w:val="16"/>
                <w:u w:color="000000"/>
                <w:vertAlign w:val="superscript"/>
                <w:rtl w:val="0"/>
                <w:lang w:val="it-IT"/>
              </w:rPr>
              <w:t>49</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2010,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9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McKendry et al </w:t>
            </w:r>
            <w:r>
              <w:rPr>
                <w:rFonts w:ascii="Times New Roman" w:hAnsi="Times New Roman"/>
                <w:sz w:val="16"/>
                <w:szCs w:val="16"/>
                <w:u w:color="000000"/>
                <w:vertAlign w:val="superscript"/>
                <w:rtl w:val="0"/>
                <w:lang w:val="it-IT"/>
              </w:rPr>
              <w:t>50</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2004,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9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McKenny et al</w:t>
            </w:r>
            <w:r>
              <w:rPr>
                <w:rFonts w:ascii="Times New Roman" w:hAnsi="Times New Roman"/>
                <w:sz w:val="16"/>
                <w:szCs w:val="16"/>
                <w:u w:color="000000"/>
                <w:rtl w:val="0"/>
                <w:lang w:val="en-US"/>
              </w:rPr>
              <w:t xml:space="preserve"> </w:t>
            </w:r>
            <w:r>
              <w:rPr>
                <w:rFonts w:ascii="Times New Roman" w:hAnsi="Times New Roman"/>
                <w:sz w:val="16"/>
                <w:szCs w:val="16"/>
                <w:u w:color="000000"/>
                <w:vertAlign w:val="superscript"/>
                <w:rtl w:val="0"/>
                <w:lang w:val="it-IT"/>
              </w:rPr>
              <w:t>51</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 xml:space="preserve">2013, Europe </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Mikor et al</w:t>
            </w:r>
            <w:r>
              <w:rPr>
                <w:rFonts w:ascii="Times New Roman" w:hAnsi="Times New Roman"/>
                <w:sz w:val="16"/>
                <w:szCs w:val="16"/>
                <w:u w:color="000000"/>
                <w:rtl w:val="0"/>
                <w:lang w:val="en-US"/>
              </w:rPr>
              <w:t xml:space="preserve"> </w:t>
            </w:r>
            <w:r>
              <w:rPr>
                <w:rFonts w:ascii="Times New Roman" w:hAnsi="Times New Roman"/>
                <w:sz w:val="16"/>
                <w:szCs w:val="16"/>
                <w:u w:color="000000"/>
                <w:vertAlign w:val="superscript"/>
                <w:rtl w:val="0"/>
                <w:lang w:val="it-IT"/>
              </w:rPr>
              <w:t>52</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2015,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Moppett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en-US"/>
              </w:rPr>
              <w:t>5</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3</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2014, Europe </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Noblett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en-US"/>
              </w:rPr>
              <w:t>5</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4</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2006,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superscript"/>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Osawa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en-US"/>
              </w:rPr>
              <w:t>5</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5</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2016</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it-IT"/>
              </w:rPr>
              <w:t xml:space="preserve">,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multicentric</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pStyle w:val="Di default"/>
              <w:tabs>
                <w:tab w:val="left" w:pos="708"/>
                <w:tab w:val="left" w:pos="792"/>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360" w:lineRule="auto"/>
              <w:ind w:left="0" w:right="417" w:firstLine="0"/>
              <w:jc w:val="center"/>
              <w:rPr>
                <w:rtl w:val="0"/>
              </w:rPr>
            </w:pPr>
            <w:r>
              <w:rPr>
                <w:rFonts w:ascii="Times New Roman" w:hAnsi="Times New Roman"/>
                <w:b w:val="1"/>
                <w:bCs w:val="1"/>
                <w:color w:val="16ca1e"/>
                <w:sz w:val="32"/>
                <w:szCs w:val="32"/>
                <w:u w:color="16ca1e"/>
                <w:rtl w:val="0"/>
                <w:lang w:val="en-US"/>
              </w:rPr>
              <w:t>+</w:t>
            </w: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Pearse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56</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2005,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Pearse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57</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2014,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Peng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58</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2014, China</w:t>
            </w:r>
          </w:p>
        </w:tc>
        <w:tc>
          <w:tcPr>
            <w:tcW w:type="dxa" w:w="1252"/>
            <w:tcBorders>
              <w:top w:val="nil"/>
              <w:left w:val="nil"/>
              <w:bottom w:val="nil"/>
              <w:right w:val="nil"/>
            </w:tcBorders>
            <w:shd w:val="clear" w:color="auto" w:fill="auto"/>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6ec038"/>
                <w:spacing w:val="0"/>
                <w:kern w:val="1"/>
                <w:position w:val="0"/>
                <w:sz w:val="32"/>
                <w:szCs w:val="32"/>
                <w:u w:val="none" w:color="6ec038"/>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6ec038"/>
                <w:spacing w:val="0"/>
                <w:kern w:val="1"/>
                <w:position w:val="0"/>
                <w:sz w:val="32"/>
                <w:szCs w:val="32"/>
                <w:u w:val="none" w:color="6ec038"/>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6ec038"/>
                <w:spacing w:val="0"/>
                <w:kern w:val="1"/>
                <w:position w:val="0"/>
                <w:sz w:val="32"/>
                <w:szCs w:val="32"/>
                <w:u w:val="none" w:color="6ec038"/>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Pestana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59</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2015,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Polonen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60</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en-US"/>
              </w:rPr>
              <w:t xml:space="preserve"> </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2000,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Poso et al</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en-US"/>
              </w:rPr>
              <w:t xml:space="preserve">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61</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en-US"/>
              </w:rPr>
              <w:t xml:space="preserve"> </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2014,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Salzwedel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62</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2013,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fr-FR"/>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fr-FR"/>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fr-FR"/>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fr-FR"/>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fr-FR"/>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fr-FR"/>
              </w:rPr>
              <w:t>+</w:t>
            </w:r>
          </w:p>
        </w:tc>
      </w:tr>
      <w:tr>
        <w:tblPrEx>
          <w:shd w:val="clear" w:color="auto" w:fill="ced7e7"/>
        </w:tblPrEx>
        <w:trPr>
          <w:trHeight w:val="460"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16"/>
                <w:szCs w:val="16"/>
                <w:u w:val="none" w:color="000000"/>
                <w:vertAlign w:val="baseline"/>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 xml:space="preserve">Sandham et al </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superscript"/>
                <w:rtl w:val="0"/>
                <w:lang w:val="it-IT"/>
              </w:rPr>
              <w:t>63</w:t>
            </w:r>
          </w:p>
          <w:p>
            <w:pPr>
              <w:keepNext w:val="0"/>
              <w:keepLines w:val="0"/>
              <w:pageBreakBefore w:val="0"/>
              <w:widowControl w:val="0"/>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0" w:firstLine="24"/>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16"/>
                <w:szCs w:val="16"/>
                <w:u w:val="none" w:color="000000"/>
                <w:vertAlign w:val="baseline"/>
                <w:rtl w:val="0"/>
                <w:lang w:val="en-US"/>
              </w:rPr>
              <w:t>2003, Canada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Schmid et al </w:t>
            </w:r>
            <w:r>
              <w:rPr>
                <w:rFonts w:ascii="Times New Roman" w:hAnsi="Times New Roman"/>
                <w:sz w:val="16"/>
                <w:szCs w:val="16"/>
                <w:u w:color="000000"/>
                <w:vertAlign w:val="superscript"/>
                <w:rtl w:val="0"/>
                <w:lang w:val="it-IT"/>
              </w:rPr>
              <w:t>64</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2016,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Schereen et al </w:t>
            </w:r>
            <w:r>
              <w:rPr>
                <w:rFonts w:ascii="Times New Roman" w:hAnsi="Times New Roman"/>
                <w:sz w:val="16"/>
                <w:szCs w:val="16"/>
                <w:u w:color="000000"/>
                <w:vertAlign w:val="superscript"/>
                <w:rtl w:val="0"/>
                <w:lang w:val="it-IT"/>
              </w:rPr>
              <w:t>65</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2013,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9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Shoemaker et al </w:t>
            </w:r>
            <w:r>
              <w:rPr>
                <w:rFonts w:ascii="Times New Roman" w:hAnsi="Times New Roman"/>
                <w:sz w:val="16"/>
                <w:szCs w:val="16"/>
                <w:u w:color="000000"/>
                <w:vertAlign w:val="superscript"/>
                <w:rtl w:val="0"/>
                <w:lang w:val="it-IT"/>
              </w:rPr>
              <w:t>66</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1998, USA</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55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Smetkin et al </w:t>
            </w:r>
            <w:r>
              <w:rPr>
                <w:rFonts w:ascii="Times New Roman" w:hAnsi="Times New Roman"/>
                <w:sz w:val="16"/>
                <w:szCs w:val="16"/>
                <w:u w:color="000000"/>
                <w:vertAlign w:val="superscript"/>
                <w:rtl w:val="0"/>
                <w:lang w:val="it-IT"/>
              </w:rPr>
              <w:t>67</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rPr>
                <w:rFonts w:ascii="Times New Roman" w:cs="Times New Roman" w:hAnsi="Times New Roman" w:eastAsia="Times New Roman"/>
                <w:sz w:val="16"/>
                <w:szCs w:val="16"/>
                <w:u w:color="000000"/>
              </w:rPr>
            </w:pPr>
            <w:r>
              <w:rPr>
                <w:rFonts w:ascii="Times New Roman" w:hAnsi="Times New Roman"/>
                <w:sz w:val="16"/>
                <w:szCs w:val="16"/>
                <w:u w:color="000000"/>
                <w:rtl w:val="0"/>
                <w:lang w:val="it-IT"/>
              </w:rPr>
              <w:t>2009; Europe</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 xml:space="preserve"> </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Srinvasa et al </w:t>
            </w:r>
            <w:r>
              <w:rPr>
                <w:rFonts w:ascii="Times New Roman" w:hAnsi="Times New Roman"/>
                <w:sz w:val="16"/>
                <w:szCs w:val="16"/>
                <w:u w:color="000000"/>
                <w:vertAlign w:val="superscript"/>
                <w:rtl w:val="0"/>
                <w:lang w:val="it-IT"/>
              </w:rPr>
              <w:t>68</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2012, Australia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tl w:val="0"/>
              </w:rPr>
            </w:pPr>
            <w:r>
              <w:rPr>
                <w:rFonts w:ascii="Times New Roman" w:hAnsi="Times New Roman"/>
                <w:b w:val="0"/>
                <w:bCs w:val="0"/>
                <w:sz w:val="16"/>
                <w:szCs w:val="16"/>
                <w:u w:color="000000"/>
                <w:rtl w:val="0"/>
                <w:lang w:val="it-IT"/>
              </w:rPr>
              <w:t xml:space="preserve">Valentine et al </w:t>
            </w:r>
            <w:r>
              <w:rPr>
                <w:rFonts w:ascii="Times New Roman" w:hAnsi="Times New Roman"/>
                <w:b w:val="0"/>
                <w:bCs w:val="0"/>
                <w:sz w:val="16"/>
                <w:szCs w:val="16"/>
                <w:u w:color="000000"/>
                <w:vertAlign w:val="superscript"/>
                <w:rtl w:val="0"/>
                <w:lang w:val="it-IT"/>
              </w:rPr>
              <w:t xml:space="preserve">70 </w:t>
            </w:r>
            <w:r>
              <w:rPr>
                <w:rFonts w:ascii="Times New Roman" w:hAnsi="Times New Roman"/>
                <w:b w:val="0"/>
                <w:bCs w:val="0"/>
                <w:sz w:val="16"/>
                <w:szCs w:val="16"/>
                <w:u w:color="000000"/>
                <w:rtl w:val="0"/>
                <w:lang w:val="it-IT"/>
              </w:rPr>
              <w:t>1998, USA</w:t>
            </w:r>
          </w:p>
        </w:tc>
        <w:tc>
          <w:tcPr>
            <w:tcW w:type="dxa" w:w="1252"/>
            <w:tcBorders>
              <w:top w:val="nil"/>
              <w:left w:val="nil"/>
              <w:bottom w:val="nil"/>
              <w:right w:val="nil"/>
            </w:tcBorders>
            <w:shd w:val="clear" w:color="auto" w:fill="auto"/>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Van Beest al </w:t>
            </w:r>
            <w:r>
              <w:rPr>
                <w:rFonts w:ascii="Times New Roman" w:hAnsi="Times New Roman"/>
                <w:sz w:val="16"/>
                <w:szCs w:val="16"/>
                <w:u w:color="000000"/>
                <w:vertAlign w:val="superscript"/>
                <w:rtl w:val="0"/>
                <w:lang w:val="it-IT"/>
              </w:rPr>
              <w:t>71</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2014,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Wakeling et al </w:t>
            </w:r>
            <w:r>
              <w:rPr>
                <w:rFonts w:ascii="Times New Roman" w:hAnsi="Times New Roman"/>
                <w:sz w:val="16"/>
                <w:szCs w:val="16"/>
                <w:u w:color="000000"/>
                <w:vertAlign w:val="superscript"/>
                <w:rtl w:val="0"/>
                <w:lang w:val="it-IT"/>
              </w:rPr>
              <w:t>72</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2005, Europe</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Weinberg et al </w:t>
            </w:r>
            <w:r>
              <w:rPr>
                <w:rFonts w:ascii="Times New Roman" w:hAnsi="Times New Roman"/>
                <w:sz w:val="16"/>
                <w:szCs w:val="16"/>
                <w:u w:color="000000"/>
                <w:vertAlign w:val="superscript"/>
                <w:rtl w:val="0"/>
                <w:lang w:val="it-IT"/>
              </w:rPr>
              <w:t>73</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2017, Australia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Wenkui et al </w:t>
            </w:r>
            <w:r>
              <w:rPr>
                <w:rFonts w:ascii="Times New Roman" w:hAnsi="Times New Roman"/>
                <w:sz w:val="16"/>
                <w:szCs w:val="16"/>
                <w:u w:color="000000"/>
                <w:vertAlign w:val="superscript"/>
                <w:rtl w:val="0"/>
                <w:lang w:val="it-IT"/>
              </w:rPr>
              <w:t>74</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 xml:space="preserve">2010, China </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Wilson et al </w:t>
            </w:r>
            <w:r>
              <w:rPr>
                <w:rFonts w:ascii="Times New Roman" w:hAnsi="Times New Roman"/>
                <w:sz w:val="16"/>
                <w:szCs w:val="16"/>
                <w:u w:color="000000"/>
                <w:vertAlign w:val="superscript"/>
                <w:rtl w:val="0"/>
                <w:lang w:val="it-IT"/>
              </w:rPr>
              <w:t xml:space="preserve">74 </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1999, Europe</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Wu et al </w:t>
            </w:r>
            <w:r>
              <w:rPr>
                <w:rFonts w:ascii="Times New Roman" w:hAnsi="Times New Roman"/>
                <w:sz w:val="16"/>
                <w:szCs w:val="16"/>
                <w:u w:color="000000"/>
                <w:vertAlign w:val="superscript"/>
                <w:rtl w:val="0"/>
                <w:lang w:val="it-IT"/>
              </w:rPr>
              <w:t>75</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 xml:space="preserve">2017,China, </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80"/>
            </w:tcMar>
            <w:vAlign w:val="top"/>
          </w:tcP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Xu et al </w:t>
            </w:r>
            <w:r>
              <w:rPr>
                <w:rFonts w:ascii="Times New Roman" w:hAnsi="Times New Roman"/>
                <w:sz w:val="16"/>
                <w:szCs w:val="16"/>
                <w:u w:color="000000"/>
                <w:vertAlign w:val="superscript"/>
                <w:rtl w:val="0"/>
                <w:lang w:val="it-IT"/>
              </w:rPr>
              <w:t>76</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2017, China</w:t>
            </w:r>
          </w:p>
        </w:tc>
        <w:tc>
          <w:tcPr>
            <w:tcW w:type="dxa" w:w="1252"/>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Zakaleva et al </w:t>
            </w:r>
            <w:r>
              <w:rPr>
                <w:rFonts w:ascii="Times New Roman" w:hAnsi="Times New Roman"/>
                <w:sz w:val="16"/>
                <w:szCs w:val="16"/>
                <w:u w:color="000000"/>
                <w:vertAlign w:val="superscript"/>
                <w:rtl w:val="0"/>
                <w:lang w:val="it-IT"/>
              </w:rPr>
              <w:t>77</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 xml:space="preserve">2013, Europe </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Zeng et al </w:t>
            </w:r>
            <w:r>
              <w:rPr>
                <w:rFonts w:ascii="Times New Roman" w:hAnsi="Times New Roman"/>
                <w:sz w:val="16"/>
                <w:szCs w:val="16"/>
                <w:u w:color="000000"/>
                <w:vertAlign w:val="superscript"/>
                <w:rtl w:val="0"/>
                <w:lang w:val="it-IT"/>
              </w:rPr>
              <w:t>78</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2014, China</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80"/>
            </w:tcMar>
            <w:vAlign w:val="top"/>
          </w:tcP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auto"/>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9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en-US"/>
              </w:rPr>
              <w:t>Zhang Jian et al</w:t>
            </w:r>
            <w:r>
              <w:rPr>
                <w:rFonts w:ascii="Times New Roman" w:hAnsi="Times New Roman"/>
                <w:sz w:val="16"/>
                <w:szCs w:val="16"/>
                <w:u w:color="000000"/>
                <w:vertAlign w:val="superscript"/>
                <w:rtl w:val="0"/>
                <w:lang w:val="en-US"/>
              </w:rPr>
              <w:t>7</w:t>
            </w:r>
            <w:r>
              <w:rPr>
                <w:rFonts w:ascii="Times New Roman" w:hAnsi="Times New Roman"/>
                <w:sz w:val="16"/>
                <w:szCs w:val="16"/>
                <w:u w:color="000000"/>
                <w:vertAlign w:val="superscript"/>
                <w:rtl w:val="0"/>
                <w:lang w:val="it-IT"/>
              </w:rPr>
              <w:t>9</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en-US"/>
              </w:rPr>
              <w:t>2013, China</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auto"/>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228"/>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73" w:hRule="atLeast"/>
        </w:trPr>
        <w:tc>
          <w:tcPr>
            <w:tcW w:type="dxa" w:w="1380"/>
            <w:tcBorders>
              <w:top w:val="nil"/>
              <w:left w:val="nil"/>
              <w:bottom w:val="nil"/>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Zhang Ju et al </w:t>
            </w:r>
            <w:r>
              <w:rPr>
                <w:rFonts w:ascii="Times New Roman" w:hAnsi="Times New Roman"/>
                <w:sz w:val="16"/>
                <w:szCs w:val="16"/>
                <w:u w:color="000000"/>
                <w:vertAlign w:val="superscript"/>
                <w:rtl w:val="0"/>
                <w:lang w:val="it-IT"/>
              </w:rPr>
              <w:t>80</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2012, China</w:t>
            </w:r>
          </w:p>
        </w:tc>
        <w:tc>
          <w:tcPr>
            <w:tcW w:type="dxa" w:w="1252"/>
            <w:tcBorders>
              <w:top w:val="nil"/>
              <w:left w:val="nil"/>
              <w:bottom w:val="nil"/>
              <w:right w:val="nil"/>
            </w:tcBorders>
            <w:shd w:val="clear" w:color="auto" w:fill="ffffff"/>
            <w:tcMar>
              <w:top w:type="dxa" w:w="80"/>
              <w:left w:type="dxa" w:w="80"/>
              <w:bottom w:type="dxa" w:w="80"/>
              <w:right w:type="dxa" w:w="80"/>
            </w:tcMar>
            <w:vAlign w:val="top"/>
          </w:tcPr>
          <w:p/>
        </w:tc>
        <w:tc>
          <w:tcPr>
            <w:tcW w:type="dxa" w:w="1001"/>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480"/>
            <w:tcBorders>
              <w:top w:val="nil"/>
              <w:left w:val="nil"/>
              <w:bottom w:val="nil"/>
              <w:right w:val="nil"/>
            </w:tcBorders>
            <w:shd w:val="clear" w:color="auto" w:fill="ffffff"/>
            <w:tcMar>
              <w:top w:type="dxa" w:w="80"/>
              <w:left w:type="dxa" w:w="80"/>
              <w:bottom w:type="dxa" w:w="80"/>
              <w:right w:type="dxa" w:w="80"/>
            </w:tcMar>
            <w:vAlign w:val="top"/>
          </w:tcPr>
          <w:p/>
        </w:tc>
        <w:tc>
          <w:tcPr>
            <w:tcW w:type="dxa" w:w="1228"/>
            <w:tcBorders>
              <w:top w:val="nil"/>
              <w:left w:val="nil"/>
              <w:bottom w:val="nil"/>
              <w:right w:val="nil"/>
            </w:tcBorders>
            <w:shd w:val="clear" w:color="auto" w:fill="ffffff"/>
            <w:tcMar>
              <w:top w:type="dxa" w:w="80"/>
              <w:left w:type="dxa" w:w="80"/>
              <w:bottom w:type="dxa" w:w="80"/>
              <w:right w:type="dxa" w:w="80"/>
            </w:tcMar>
            <w:vAlign w:val="top"/>
          </w:tcP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nil"/>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0"/>
                <w:position w:val="0"/>
                <w:sz w:val="32"/>
                <w:szCs w:val="32"/>
                <w:u w:val="none" w:color="16ca1e"/>
                <w:vertAlign w:val="baseline"/>
                <w:rtl w:val="0"/>
                <w:lang w:val="it-IT"/>
              </w:rPr>
              <w:t>+</w:t>
            </w:r>
          </w:p>
        </w:tc>
      </w:tr>
      <w:tr>
        <w:tblPrEx>
          <w:shd w:val="clear" w:color="auto" w:fill="ced7e7"/>
        </w:tblPrEx>
        <w:trPr>
          <w:trHeight w:val="388" w:hRule="atLeast"/>
        </w:trPr>
        <w:tc>
          <w:tcPr>
            <w:tcW w:type="dxa" w:w="1380"/>
            <w:tcBorders>
              <w:top w:val="nil"/>
              <w:left w:val="nil"/>
              <w:bottom w:val="single" w:color="808080" w:sz="20" w:space="0" w:shadow="0" w:frame="0"/>
              <w:right w:val="nil"/>
            </w:tcBorders>
            <w:shd w:val="clear" w:color="auto" w:fill="ffffff"/>
            <w:tcMar>
              <w:top w:type="dxa" w:w="80"/>
              <w:left w:type="dxa" w:w="80"/>
              <w:bottom w:type="dxa" w:w="80"/>
              <w:right w:type="dxa" w:w="80"/>
            </w:tcMar>
            <w:vAlign w:val="top"/>
          </w:tcPr>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ind w:left="0" w:right="0" w:firstLine="0"/>
              <w:jc w:val="left"/>
              <w:rPr>
                <w:rFonts w:ascii="Times New Roman" w:cs="Times New Roman" w:hAnsi="Times New Roman" w:eastAsia="Times New Roman"/>
                <w:sz w:val="16"/>
                <w:szCs w:val="16"/>
                <w:u w:color="000000"/>
                <w:rtl w:val="0"/>
              </w:rPr>
            </w:pPr>
            <w:r>
              <w:rPr>
                <w:rFonts w:ascii="Times New Roman" w:hAnsi="Times New Roman"/>
                <w:sz w:val="16"/>
                <w:szCs w:val="16"/>
                <w:u w:color="000000"/>
                <w:rtl w:val="0"/>
                <w:lang w:val="it-IT"/>
              </w:rPr>
              <w:t xml:space="preserve">Ziegler et al </w:t>
            </w:r>
            <w:r>
              <w:rPr>
                <w:rFonts w:ascii="Times New Roman" w:hAnsi="Times New Roman"/>
                <w:sz w:val="16"/>
                <w:szCs w:val="16"/>
                <w:u w:color="000000"/>
                <w:vertAlign w:val="superscript"/>
                <w:rtl w:val="0"/>
                <w:lang w:val="it-IT"/>
              </w:rPr>
              <w:t>81</w:t>
            </w:r>
          </w:p>
          <w:p>
            <w:pPr>
              <w:pStyle w:val="Di 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jc w:val="left"/>
            </w:pPr>
            <w:r>
              <w:rPr>
                <w:rFonts w:ascii="Times New Roman" w:hAnsi="Times New Roman"/>
                <w:b w:val="0"/>
                <w:bCs w:val="0"/>
                <w:sz w:val="16"/>
                <w:szCs w:val="16"/>
                <w:u w:color="000000"/>
                <w:rtl w:val="0"/>
                <w:lang w:val="it-IT"/>
              </w:rPr>
              <w:t>1997, USA</w:t>
            </w:r>
          </w:p>
        </w:tc>
        <w:tc>
          <w:tcPr>
            <w:tcW w:type="dxa" w:w="1252"/>
            <w:tcBorders>
              <w:top w:val="nil"/>
              <w:left w:val="nil"/>
              <w:bottom w:val="single" w:color="808080" w:sz="20" w:space="0" w:shadow="0" w:frame="0"/>
              <w:right w:val="nil"/>
            </w:tcBorders>
            <w:shd w:val="clear" w:color="auto" w:fill="ffffff"/>
            <w:tcMar>
              <w:top w:type="dxa" w:w="80"/>
              <w:left w:type="dxa" w:w="80"/>
              <w:bottom w:type="dxa" w:w="80"/>
              <w:right w:type="dxa" w:w="80"/>
            </w:tcMar>
            <w:vAlign w:val="top"/>
          </w:tcPr>
          <w:p/>
        </w:tc>
        <w:tc>
          <w:tcPr>
            <w:tcW w:type="dxa" w:w="1001"/>
            <w:tcBorders>
              <w:top w:val="nil"/>
              <w:left w:val="nil"/>
              <w:bottom w:val="single" w:color="808080" w:sz="20" w:space="0" w:shadow="0" w:frame="0"/>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480"/>
            <w:tcBorders>
              <w:top w:val="nil"/>
              <w:left w:val="nil"/>
              <w:bottom w:val="single" w:color="808080" w:sz="20" w:space="0" w:shadow="0" w:frame="0"/>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ff0000"/>
                <w:spacing w:val="0"/>
                <w:kern w:val="1"/>
                <w:position w:val="0"/>
                <w:sz w:val="32"/>
                <w:szCs w:val="32"/>
                <w:u w:val="none" w:color="ff0000"/>
                <w:vertAlign w:val="baseline"/>
                <w:rtl w:val="0"/>
                <w:lang w:val="de-DE"/>
              </w:rPr>
              <w:t>-</w:t>
            </w:r>
          </w:p>
        </w:tc>
        <w:tc>
          <w:tcPr>
            <w:tcW w:type="dxa" w:w="1228"/>
            <w:tcBorders>
              <w:top w:val="nil"/>
              <w:left w:val="nil"/>
              <w:bottom w:val="single" w:color="808080" w:sz="20" w:space="0" w:shadow="0" w:frame="0"/>
              <w:right w:val="nil"/>
            </w:tcBorders>
            <w:shd w:val="clear" w:color="auto" w:fill="ffffff"/>
            <w:tcMar>
              <w:top w:type="dxa" w:w="80"/>
              <w:left w:type="dxa" w:w="80"/>
              <w:bottom w:type="dxa" w:w="80"/>
              <w:right w:type="dxa" w:w="497"/>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center"/>
              <w:outlineLvl w:val="9"/>
              <w:rPr>
                <w:rtl w:val="0"/>
              </w:rPr>
            </w:pPr>
            <w:r>
              <w:rPr>
                <w:rFonts w:ascii="Times New Roman" w:cs="Arial Unicode MS" w:hAnsi="Times New Roman" w:eastAsia="Arial Unicode MS"/>
                <w:b w:val="1"/>
                <w:bCs w:val="1"/>
                <w:i w:val="0"/>
                <w:iCs w:val="0"/>
                <w:caps w:val="0"/>
                <w:smallCaps w:val="0"/>
                <w:strike w:val="0"/>
                <w:dstrike w:val="0"/>
                <w:outline w:val="0"/>
                <w:color w:val="16ca1e"/>
                <w:spacing w:val="0"/>
                <w:kern w:val="1"/>
                <w:position w:val="0"/>
                <w:sz w:val="32"/>
                <w:szCs w:val="32"/>
                <w:u w:val="none" w:color="16ca1e"/>
                <w:vertAlign w:val="baseline"/>
                <w:rtl w:val="0"/>
                <w:lang w:val="it-IT"/>
              </w:rPr>
              <w:t>+</w:t>
            </w:r>
          </w:p>
        </w:tc>
        <w:tc>
          <w:tcPr>
            <w:tcW w:type="dxa" w:w="1530"/>
            <w:tcBorders>
              <w:top w:val="nil"/>
              <w:left w:val="nil"/>
              <w:bottom w:val="single" w:color="808080" w:sz="20" w:space="0" w:shadow="0" w:frame="0"/>
              <w:right w:val="nil"/>
            </w:tcBorders>
            <w:shd w:val="clear" w:color="auto" w:fill="ffffff"/>
            <w:tcMar>
              <w:top w:type="dxa" w:w="80"/>
              <w:left w:type="dxa" w:w="80"/>
              <w:bottom w:type="dxa" w:w="80"/>
              <w:right w:type="dxa" w:w="80"/>
            </w:tcMar>
            <w:vAlign w:val="top"/>
          </w:tcPr>
          <w:p/>
        </w:tc>
        <w:tc>
          <w:tcPr>
            <w:tcW w:type="dxa" w:w="1530"/>
            <w:tcBorders>
              <w:top w:val="nil"/>
              <w:left w:val="nil"/>
              <w:bottom w:val="single" w:color="515151" w:sz="16" w:space="0" w:shadow="0" w:frame="0"/>
              <w:right w:val="nil"/>
            </w:tcBorders>
            <w:shd w:val="clear" w:color="auto" w:fill="auto"/>
            <w:tcMar>
              <w:top w:type="dxa" w:w="80"/>
              <w:left w:type="dxa" w:w="80"/>
              <w:bottom w:type="dxa" w:w="80"/>
              <w:right w:type="dxa" w:w="80"/>
            </w:tcMar>
            <w:vAlign w:val="top"/>
          </w:tcPr>
          <w:p/>
        </w:tc>
      </w:tr>
    </w:tbl>
    <w:p>
      <w:pPr>
        <w:pStyle w:val="Di 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ind w:left="108" w:right="0" w:hanging="108"/>
        <w:jc w:val="left"/>
        <w:rPr>
          <w:rFonts w:ascii="Times New Roman" w:cs="Times New Roman" w:hAnsi="Times New Roman" w:eastAsia="Times New Roman"/>
          <w:sz w:val="24"/>
          <w:szCs w:val="24"/>
          <w:u w:color="000000"/>
          <w:rtl w:val="0"/>
          <w:lang w:val="en-US"/>
        </w:rPr>
      </w:pPr>
    </w:p>
    <w:p>
      <w:pPr>
        <w:pStyle w:val="Di 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ind w:left="0" w:right="0" w:firstLine="0"/>
        <w:jc w:val="both"/>
        <w:rPr>
          <w:rFonts w:ascii="Times New Roman" w:cs="Times New Roman" w:hAnsi="Times New Roman" w:eastAsia="Times New Roman"/>
          <w:sz w:val="24"/>
          <w:szCs w:val="24"/>
          <w:u w:color="000000"/>
          <w:rtl w:val="0"/>
          <w:lang w:val="en-US"/>
        </w:rPr>
      </w:pPr>
    </w:p>
    <w:p>
      <w:pPr>
        <w:pStyle w:val="Di 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line="360" w:lineRule="auto"/>
        <w:ind w:left="216" w:right="0" w:hanging="216"/>
        <w:jc w:val="both"/>
        <w:rPr>
          <w:rFonts w:ascii="Times New Roman" w:cs="Times New Roman" w:hAnsi="Times New Roman" w:eastAsia="Times New Roman"/>
          <w:sz w:val="24"/>
          <w:szCs w:val="24"/>
          <w:u w:color="000000"/>
          <w:rtl w:val="0"/>
          <w:lang w:val="it-IT"/>
        </w:rPr>
      </w:pP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val="1"/>
        <w:bidi w:val="0"/>
        <w:spacing w:before="0" w:after="0" w:line="360" w:lineRule="auto"/>
        <w:ind w:left="0" w:right="417" w:firstLine="0"/>
        <w:jc w:val="both"/>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vertAlign w:val="baseline"/>
          <w:rtl w:val="0"/>
          <w:lang w:val="en-US"/>
        </w:rPr>
        <w:t xml:space="preserve">Table 2.  The risk of bias assessment for each trial, according to the Cochrane  domain-based evaluation. This is a two-part tool, addressing  seven specific domains (namely sequence generation, allocation concealment, blinding of participants and personnel, blinding of outcome assessment, incomplete outcome data, selective outcome reporting and </w:t>
      </w:r>
      <w:r>
        <w:rPr>
          <w:rFonts w:ascii="Times New Roman" w:cs="Arial Unicode MS" w:hAnsi="Times New Roman" w:eastAsia="Arial Unicode MS" w:hint="default"/>
          <w:b w:val="0"/>
          <w:bCs w:val="0"/>
          <w:i w:val="0"/>
          <w:iCs w:val="0"/>
          <w:caps w:val="0"/>
          <w:smallCaps w:val="0"/>
          <w:strike w:val="0"/>
          <w:dstrike w:val="0"/>
          <w:outline w:val="0"/>
          <w:color w:val="000000"/>
          <w:spacing w:val="0"/>
          <w:kern w:val="1"/>
          <w:position w:val="0"/>
          <w:sz w:val="24"/>
          <w:szCs w:val="24"/>
          <w:u w:val="none" w:color="000000"/>
          <w:vertAlign w:val="baseline"/>
          <w:rtl w:val="0"/>
          <w:lang w:val="en-US"/>
        </w:rPr>
        <w:t>‘</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vertAlign w:val="baseline"/>
          <w:rtl w:val="0"/>
          <w:lang w:val="en-US"/>
        </w:rPr>
        <w:t>other issues</w:t>
      </w:r>
      <w:r>
        <w:rPr>
          <w:rFonts w:ascii="Times New Roman" w:cs="Arial Unicode MS" w:hAnsi="Times New Roman" w:eastAsia="Arial Unicode MS" w:hint="default"/>
          <w:b w:val="0"/>
          <w:bCs w:val="0"/>
          <w:i w:val="0"/>
          <w:iCs w:val="0"/>
          <w:caps w:val="0"/>
          <w:smallCaps w:val="0"/>
          <w:strike w:val="0"/>
          <w:dstrike w:val="0"/>
          <w:outline w:val="0"/>
          <w:color w:val="000000"/>
          <w:spacing w:val="0"/>
          <w:kern w:val="1"/>
          <w:position w:val="0"/>
          <w:sz w:val="24"/>
          <w:szCs w:val="24"/>
          <w:u w:val="none" w:color="000000"/>
          <w:vertAlign w:val="baseline"/>
          <w:rtl w:val="0"/>
          <w:lang w:val="en-US"/>
        </w:rPr>
        <w:t>’</w:t>
      </w:r>
      <w: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vertAlign w:val="baseline"/>
          <w:rtl w:val="0"/>
          <w:lang w:val="en-US"/>
        </w:rPr>
        <w:t>) that are strongly associated with bias reduction. The green plus indicates low risk of bias, the red minus indicates high risk of bias, the white colour indicates unclear risk of bias.(see text for details)</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i default">
    <w:name w:val="Di default"/>
    <w:next w:val="Di 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