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D9620A" w14:textId="77777777" w:rsidR="00B00864" w:rsidRPr="00ED3D54" w:rsidRDefault="00B00864" w:rsidP="00ED3D54"/>
    <w:p w14:paraId="6792D7F9" w14:textId="77777777" w:rsidR="00B00864" w:rsidRDefault="002B5315">
      <w:pPr>
        <w:spacing w:after="0" w:line="360" w:lineRule="auto"/>
        <w:jc w:val="center"/>
      </w:pPr>
      <w:r>
        <w:rPr>
          <w:b/>
          <w:sz w:val="24"/>
          <w:szCs w:val="24"/>
          <w:lang w:val="en-US"/>
        </w:rPr>
        <w:t>SUPPLEMENTARY MATERIAL</w:t>
      </w:r>
    </w:p>
    <w:p w14:paraId="07744A18" w14:textId="77777777" w:rsidR="00B00864" w:rsidRDefault="00B00864">
      <w:pPr>
        <w:spacing w:after="0" w:line="360" w:lineRule="auto"/>
        <w:jc w:val="both"/>
        <w:rPr>
          <w:sz w:val="24"/>
          <w:szCs w:val="24"/>
          <w:lang w:val="en-US"/>
        </w:rPr>
      </w:pPr>
    </w:p>
    <w:p w14:paraId="52280203" w14:textId="3FC8FF77" w:rsidR="002E716E" w:rsidRDefault="002E716E">
      <w:pPr>
        <w:suppressAutoHyphens w:val="0"/>
        <w:spacing w:after="0" w:line="240" w:lineRule="auto"/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 xml:space="preserve">Characteristics of the selected studies (Table </w:t>
      </w:r>
      <w:r w:rsidR="00251774">
        <w:rPr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en-US"/>
        </w:rPr>
        <w:t>1 in the main manuscript).</w:t>
      </w:r>
      <w:proofErr w:type="gramEnd"/>
    </w:p>
    <w:p w14:paraId="749D62AF" w14:textId="77777777" w:rsidR="002E716E" w:rsidRDefault="002E716E">
      <w:pPr>
        <w:suppressAutoHyphens w:val="0"/>
        <w:spacing w:after="0" w:line="240" w:lineRule="auto"/>
        <w:rPr>
          <w:b/>
          <w:sz w:val="24"/>
          <w:szCs w:val="24"/>
          <w:lang w:val="en-US"/>
        </w:rPr>
      </w:pPr>
    </w:p>
    <w:p w14:paraId="54DFDC64" w14:textId="77777777" w:rsidR="002E716E" w:rsidRDefault="002E716E" w:rsidP="002E716E">
      <w:pPr>
        <w:spacing w:line="360" w:lineRule="auto"/>
        <w:ind w:firstLine="70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Thirteen studies (59%) included only patients after OHCA; target temperature during TTM was 32-34°C in all studies except one, which had patients treated either at 33°C or 36°C </w:t>
      </w:r>
      <w:r w:rsidRPr="0084458D">
        <w:rPr>
          <w:sz w:val="24"/>
          <w:szCs w:val="24"/>
          <w:lang w:val="en-US"/>
        </w:rPr>
        <w:t>[14]</w:t>
      </w:r>
      <w:r>
        <w:rPr>
          <w:sz w:val="24"/>
          <w:szCs w:val="24"/>
          <w:lang w:val="en-US"/>
        </w:rPr>
        <w:t xml:space="preserve">. Duration of cooling was 24 hours in 20 studies (91%); one study reported TTM duration of 12-24 hours </w:t>
      </w:r>
      <w:r w:rsidRPr="0084458D">
        <w:rPr>
          <w:sz w:val="24"/>
          <w:szCs w:val="24"/>
          <w:lang w:val="en-US"/>
        </w:rPr>
        <w:t>[</w:t>
      </w:r>
      <w:r>
        <w:rPr>
          <w:sz w:val="24"/>
          <w:szCs w:val="24"/>
          <w:lang w:val="en-US"/>
        </w:rPr>
        <w:t>32</w:t>
      </w:r>
      <w:r w:rsidRPr="0084458D">
        <w:rPr>
          <w:sz w:val="24"/>
          <w:szCs w:val="24"/>
          <w:lang w:val="en-US"/>
        </w:rPr>
        <w:t>]</w:t>
      </w:r>
      <w:r>
        <w:rPr>
          <w:sz w:val="24"/>
          <w:szCs w:val="24"/>
          <w:lang w:val="en-US"/>
        </w:rPr>
        <w:t xml:space="preserve"> and another compared TTM during 24 hours vs 48 hours </w:t>
      </w:r>
      <w:r w:rsidRPr="0084458D">
        <w:rPr>
          <w:sz w:val="24"/>
          <w:szCs w:val="24"/>
          <w:lang w:val="en-US"/>
        </w:rPr>
        <w:t>[1</w:t>
      </w:r>
      <w:r>
        <w:rPr>
          <w:sz w:val="24"/>
          <w:szCs w:val="24"/>
          <w:lang w:val="en-US"/>
        </w:rPr>
        <w:t>7</w:t>
      </w:r>
      <w:r w:rsidRPr="0084458D">
        <w:rPr>
          <w:sz w:val="24"/>
          <w:szCs w:val="24"/>
          <w:lang w:val="en-US"/>
        </w:rPr>
        <w:t>]</w:t>
      </w:r>
      <w:r>
        <w:rPr>
          <w:sz w:val="24"/>
          <w:szCs w:val="24"/>
          <w:lang w:val="en-US"/>
        </w:rPr>
        <w:t xml:space="preserve">. Poor neurological outcome was reported in 14 studies (64%) and defined as a Cerebral Performance Category of 3-5 in all of them; in </w:t>
      </w:r>
      <w:proofErr w:type="gramStart"/>
      <w:r>
        <w:rPr>
          <w:sz w:val="24"/>
          <w:szCs w:val="24"/>
          <w:lang w:val="en-US"/>
        </w:rPr>
        <w:t>7</w:t>
      </w:r>
      <w:proofErr w:type="gramEnd"/>
      <w:r>
        <w:rPr>
          <w:sz w:val="24"/>
          <w:szCs w:val="24"/>
          <w:lang w:val="en-US"/>
        </w:rPr>
        <w:t xml:space="preserve"> of these studies (50%), neurological outcome was collected at hospital discharge.</w:t>
      </w:r>
      <w:r w:rsidRPr="00B47B2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Mortality was reported in all studies; most studies reported mortality at hospital discharge (12/22, 55%) and only </w:t>
      </w:r>
      <w:proofErr w:type="gramStart"/>
      <w:r>
        <w:rPr>
          <w:sz w:val="24"/>
          <w:szCs w:val="24"/>
          <w:lang w:val="en-US"/>
        </w:rPr>
        <w:t>3</w:t>
      </w:r>
      <w:proofErr w:type="gramEnd"/>
      <w:r>
        <w:rPr>
          <w:sz w:val="24"/>
          <w:szCs w:val="24"/>
          <w:lang w:val="en-US"/>
        </w:rPr>
        <w:t xml:space="preserve"> studies reported long-term mortality at 6 months after CA.</w:t>
      </w:r>
    </w:p>
    <w:p w14:paraId="08136824" w14:textId="63E21DC8" w:rsidR="002E716E" w:rsidRDefault="002E716E">
      <w:pPr>
        <w:suppressAutoHyphens w:val="0"/>
        <w:spacing w:after="0"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14:paraId="134B3E02" w14:textId="1CFD4795" w:rsidR="00B00864" w:rsidRDefault="002B5315">
      <w:pPr>
        <w:spacing w:after="0" w:line="360" w:lineRule="auto"/>
        <w:jc w:val="both"/>
      </w:pPr>
      <w:r>
        <w:rPr>
          <w:b/>
          <w:sz w:val="24"/>
          <w:szCs w:val="24"/>
          <w:lang w:val="en-US"/>
        </w:rPr>
        <w:lastRenderedPageBreak/>
        <w:t xml:space="preserve">Table </w:t>
      </w:r>
      <w:r w:rsidR="00251774">
        <w:rPr>
          <w:b/>
          <w:sz w:val="24"/>
          <w:szCs w:val="24"/>
          <w:lang w:val="en-US"/>
        </w:rPr>
        <w:t>S</w:t>
      </w:r>
      <w:r w:rsidR="00DA7503">
        <w:rPr>
          <w:b/>
          <w:sz w:val="24"/>
          <w:szCs w:val="24"/>
          <w:lang w:val="en-US"/>
        </w:rPr>
        <w:t>1</w:t>
      </w:r>
      <w:proofErr w:type="gramStart"/>
      <w:r w:rsidR="00617C82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 xml:space="preserve">  </w:t>
      </w:r>
      <w:proofErr w:type="gramEnd"/>
      <w:r w:rsidRPr="00617C82">
        <w:rPr>
          <w:sz w:val="24"/>
          <w:szCs w:val="24"/>
          <w:lang w:val="en-US"/>
        </w:rPr>
        <w:t>Extracted data in each study assessed for eligibility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B00864" w14:paraId="524E0310" w14:textId="77777777">
        <w:tc>
          <w:tcPr>
            <w:tcW w:w="9638" w:type="dxa"/>
            <w:tcBorders>
              <w:top w:val="single" w:sz="0" w:space="0" w:color="000000"/>
              <w:bottom w:val="single" w:sz="0" w:space="0" w:color="000000"/>
            </w:tcBorders>
            <w:vAlign w:val="center"/>
          </w:tcPr>
          <w:p w14:paraId="48968A8C" w14:textId="77777777" w:rsidR="00B00864" w:rsidRDefault="002B5315">
            <w:pPr>
              <w:tabs>
                <w:tab w:val="left" w:pos="4995"/>
              </w:tabs>
              <w:spacing w:after="0" w:line="360" w:lineRule="auto"/>
              <w:jc w:val="both"/>
            </w:pPr>
            <w:r>
              <w:rPr>
                <w:b/>
                <w:sz w:val="24"/>
                <w:szCs w:val="24"/>
                <w:lang w:val="en-US"/>
              </w:rPr>
              <w:t>Extracted Data</w:t>
            </w:r>
            <w:r>
              <w:rPr>
                <w:b/>
                <w:sz w:val="24"/>
                <w:szCs w:val="24"/>
                <w:lang w:val="en-US"/>
              </w:rPr>
              <w:tab/>
              <w:t>Details</w:t>
            </w:r>
          </w:p>
        </w:tc>
      </w:tr>
    </w:tbl>
    <w:p w14:paraId="15D84D5D" w14:textId="77777777" w:rsidR="00B00864" w:rsidRDefault="00B00864">
      <w:pPr>
        <w:spacing w:after="0" w:line="360" w:lineRule="auto"/>
        <w:jc w:val="both"/>
        <w:rPr>
          <w:b/>
          <w:sz w:val="4"/>
          <w:szCs w:val="24"/>
          <w:lang w:val="en-US"/>
        </w:rPr>
      </w:pPr>
    </w:p>
    <w:p w14:paraId="261CA661" w14:textId="77777777" w:rsidR="00B00864" w:rsidRDefault="00B00864">
      <w:pPr>
        <w:spacing w:after="0" w:line="360" w:lineRule="auto"/>
        <w:jc w:val="both"/>
        <w:rPr>
          <w:rFonts w:eastAsia="Calibri"/>
          <w:b/>
          <w:sz w:val="4"/>
          <w:szCs w:val="4"/>
          <w:vertAlign w:val="superscript"/>
          <w:lang w:val="en-US"/>
        </w:rPr>
      </w:pPr>
    </w:p>
    <w:p w14:paraId="3427968E" w14:textId="1BE39166" w:rsidR="00B00864" w:rsidRDefault="002B5315">
      <w:pPr>
        <w:spacing w:after="0" w:line="360" w:lineRule="auto"/>
      </w:pPr>
      <w:r>
        <w:rPr>
          <w:bCs/>
          <w:sz w:val="24"/>
          <w:szCs w:val="24"/>
          <w:lang w:val="en-US" w:eastAsia="it-IT"/>
        </w:rPr>
        <w:t>Study Reference</w:t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  <w:t xml:space="preserve">Names and surnames of authors, year of </w:t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  <w:t>publication</w:t>
      </w:r>
    </w:p>
    <w:p w14:paraId="6DC78BB7" w14:textId="77777777" w:rsidR="00B00864" w:rsidRDefault="00B00864">
      <w:pPr>
        <w:spacing w:after="0" w:line="360" w:lineRule="auto"/>
        <w:rPr>
          <w:sz w:val="4"/>
          <w:szCs w:val="24"/>
          <w:lang w:val="en-US"/>
        </w:rPr>
      </w:pPr>
    </w:p>
    <w:p w14:paraId="3140694A" w14:textId="77777777" w:rsidR="00B00864" w:rsidRDefault="00B00864">
      <w:pPr>
        <w:spacing w:after="0" w:line="360" w:lineRule="auto"/>
        <w:rPr>
          <w:rFonts w:eastAsia="Calibri"/>
          <w:color w:val="00000A"/>
          <w:sz w:val="4"/>
          <w:szCs w:val="24"/>
          <w:lang w:val="en-US"/>
        </w:rPr>
      </w:pPr>
    </w:p>
    <w:p w14:paraId="0F13FB47" w14:textId="1B667583" w:rsidR="00B00864" w:rsidRDefault="002B5315">
      <w:pPr>
        <w:spacing w:after="0" w:line="360" w:lineRule="auto"/>
      </w:pPr>
      <w:r>
        <w:rPr>
          <w:bCs/>
          <w:sz w:val="24"/>
          <w:szCs w:val="24"/>
          <w:lang w:val="en-US" w:eastAsia="it-IT"/>
        </w:rPr>
        <w:t>Study design</w:t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  <w:t>Type of recruitment</w:t>
      </w:r>
    </w:p>
    <w:p w14:paraId="0C9B7989" w14:textId="77777777" w:rsidR="00B00864" w:rsidRDefault="00B00864">
      <w:pPr>
        <w:spacing w:after="0" w:line="360" w:lineRule="auto"/>
        <w:rPr>
          <w:rFonts w:eastAsia="Calibri"/>
          <w:color w:val="00000A"/>
          <w:sz w:val="4"/>
          <w:szCs w:val="24"/>
          <w:lang w:val="en-US"/>
        </w:rPr>
      </w:pPr>
    </w:p>
    <w:p w14:paraId="7AA3AB4C" w14:textId="77777777" w:rsidR="00B00864" w:rsidRDefault="00B00864">
      <w:pPr>
        <w:spacing w:after="0" w:line="360" w:lineRule="auto"/>
        <w:rPr>
          <w:rFonts w:eastAsia="Calibri"/>
          <w:color w:val="00000A"/>
          <w:sz w:val="4"/>
          <w:szCs w:val="24"/>
          <w:lang w:val="en-US"/>
        </w:rPr>
      </w:pPr>
    </w:p>
    <w:p w14:paraId="73EF80C9" w14:textId="20D86F41" w:rsidR="00B00864" w:rsidRDefault="002B5315">
      <w:pPr>
        <w:spacing w:after="0" w:line="360" w:lineRule="auto"/>
      </w:pPr>
      <w:r>
        <w:rPr>
          <w:bCs/>
          <w:sz w:val="24"/>
          <w:szCs w:val="24"/>
          <w:lang w:val="en-US" w:eastAsia="it-IT"/>
        </w:rPr>
        <w:t>Patient number</w:t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r>
        <w:rPr>
          <w:bCs/>
          <w:sz w:val="24"/>
          <w:szCs w:val="24"/>
          <w:lang w:val="en-US" w:eastAsia="it-IT"/>
        </w:rPr>
        <w:tab/>
      </w:r>
      <w:proofErr w:type="spellStart"/>
      <w:r>
        <w:rPr>
          <w:bCs/>
          <w:sz w:val="24"/>
          <w:szCs w:val="24"/>
          <w:lang w:val="en-US" w:eastAsia="it-IT"/>
        </w:rPr>
        <w:t>Number</w:t>
      </w:r>
      <w:proofErr w:type="spellEnd"/>
      <w:r>
        <w:rPr>
          <w:bCs/>
          <w:sz w:val="24"/>
          <w:szCs w:val="24"/>
          <w:lang w:val="en-US" w:eastAsia="it-IT"/>
        </w:rPr>
        <w:t xml:space="preserve"> of eligible patients</w:t>
      </w:r>
      <w:r w:rsidR="00617C82">
        <w:rPr>
          <w:bCs/>
          <w:sz w:val="24"/>
          <w:szCs w:val="24"/>
          <w:lang w:val="en-US" w:eastAsia="it-IT"/>
        </w:rPr>
        <w:t xml:space="preserve"> in each study</w:t>
      </w:r>
    </w:p>
    <w:p w14:paraId="462C9ABA" w14:textId="77777777" w:rsidR="00B00864" w:rsidRDefault="00B00864">
      <w:pPr>
        <w:spacing w:after="0" w:line="360" w:lineRule="auto"/>
        <w:rPr>
          <w:rFonts w:eastAsia="Calibri"/>
          <w:color w:val="00000A"/>
          <w:sz w:val="8"/>
          <w:szCs w:val="24"/>
          <w:lang w:val="en-US"/>
        </w:rPr>
      </w:pPr>
    </w:p>
    <w:p w14:paraId="3838A737" w14:textId="0CB6C2E1" w:rsidR="00B00864" w:rsidRDefault="00617C82">
      <w:pPr>
        <w:spacing w:after="0" w:line="360" w:lineRule="auto"/>
      </w:pPr>
      <w:r>
        <w:rPr>
          <w:bCs/>
          <w:sz w:val="24"/>
          <w:szCs w:val="24"/>
          <w:lang w:val="en-US" w:eastAsia="it-IT"/>
        </w:rPr>
        <w:t>Cardiac Arrest Location</w:t>
      </w:r>
      <w:r w:rsidR="002B5315">
        <w:rPr>
          <w:bCs/>
          <w:sz w:val="24"/>
          <w:szCs w:val="24"/>
          <w:lang w:val="en-US" w:eastAsia="it-IT"/>
        </w:rPr>
        <w:tab/>
      </w:r>
      <w:r w:rsidR="002B5315">
        <w:rPr>
          <w:bCs/>
          <w:sz w:val="24"/>
          <w:szCs w:val="24"/>
          <w:lang w:val="en-US" w:eastAsia="it-IT"/>
        </w:rPr>
        <w:tab/>
      </w:r>
      <w:r w:rsidR="002B5315">
        <w:rPr>
          <w:bCs/>
          <w:sz w:val="24"/>
          <w:szCs w:val="24"/>
          <w:lang w:val="en-US" w:eastAsia="it-IT"/>
        </w:rPr>
        <w:tab/>
      </w:r>
      <w:r w:rsidR="002B5315">
        <w:rPr>
          <w:bCs/>
          <w:sz w:val="24"/>
          <w:szCs w:val="24"/>
          <w:lang w:val="en-US" w:eastAsia="it-IT"/>
        </w:rPr>
        <w:tab/>
      </w:r>
      <w:r>
        <w:rPr>
          <w:sz w:val="24"/>
          <w:szCs w:val="24"/>
          <w:lang w:val="en-US"/>
        </w:rPr>
        <w:t>OHCA or both IHCA and OHCA</w:t>
      </w:r>
    </w:p>
    <w:p w14:paraId="7073B40E" w14:textId="77777777" w:rsidR="00B00864" w:rsidRDefault="00B00864">
      <w:pPr>
        <w:spacing w:after="0" w:line="360" w:lineRule="auto"/>
        <w:rPr>
          <w:rFonts w:eastAsia="Calibri"/>
          <w:color w:val="00000A"/>
          <w:sz w:val="8"/>
          <w:szCs w:val="24"/>
          <w:lang w:val="en-US"/>
        </w:rPr>
      </w:pPr>
    </w:p>
    <w:p w14:paraId="21CF7D71" w14:textId="5ED55AF7" w:rsidR="00B00864" w:rsidRDefault="00617C82">
      <w:pPr>
        <w:spacing w:after="0" w:line="360" w:lineRule="auto"/>
      </w:pPr>
      <w:r>
        <w:rPr>
          <w:sz w:val="24"/>
          <w:szCs w:val="24"/>
          <w:lang w:val="en-US"/>
        </w:rPr>
        <w:t>Target Temperature during Hypothermia</w:t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i.e. 32-34°C or others</w:t>
      </w:r>
    </w:p>
    <w:p w14:paraId="300C115F" w14:textId="77777777" w:rsidR="00B00864" w:rsidRDefault="00B00864">
      <w:pPr>
        <w:spacing w:after="0" w:line="360" w:lineRule="auto"/>
        <w:rPr>
          <w:rFonts w:eastAsia="Calibri"/>
          <w:color w:val="00000A"/>
          <w:sz w:val="8"/>
          <w:szCs w:val="24"/>
          <w:lang w:val="en-US"/>
        </w:rPr>
      </w:pPr>
    </w:p>
    <w:p w14:paraId="5A0341A0" w14:textId="294C0374" w:rsidR="00B00864" w:rsidRDefault="00617C82">
      <w:pPr>
        <w:spacing w:after="0" w:line="360" w:lineRule="auto"/>
      </w:pPr>
      <w:r>
        <w:rPr>
          <w:sz w:val="24"/>
          <w:szCs w:val="24"/>
          <w:lang w:val="en-US"/>
        </w:rPr>
        <w:t>Duration of cooling</w:t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i.e. 12, 24 or 48 hours</w:t>
      </w:r>
    </w:p>
    <w:p w14:paraId="49F98857" w14:textId="77777777" w:rsidR="00B00864" w:rsidRDefault="00B00864">
      <w:pPr>
        <w:spacing w:after="0" w:line="360" w:lineRule="auto"/>
        <w:rPr>
          <w:rFonts w:eastAsia="Calibri"/>
          <w:color w:val="00000A"/>
          <w:sz w:val="8"/>
          <w:szCs w:val="24"/>
          <w:lang w:val="en-US"/>
        </w:rPr>
      </w:pPr>
    </w:p>
    <w:p w14:paraId="04F05D0E" w14:textId="4CE54A06" w:rsidR="00B00864" w:rsidRDefault="00617C82">
      <w:pPr>
        <w:spacing w:after="0" w:line="360" w:lineRule="auto"/>
      </w:pPr>
      <w:r>
        <w:rPr>
          <w:sz w:val="24"/>
          <w:szCs w:val="24"/>
          <w:lang w:val="en-US"/>
        </w:rPr>
        <w:t>Timing of reported mortality</w:t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 w:rsidR="002B5315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i.e. ICU discharge, Hospital discharge or others</w:t>
      </w:r>
    </w:p>
    <w:p w14:paraId="142EA7B3" w14:textId="77777777" w:rsidR="00B00864" w:rsidRDefault="00B00864">
      <w:pPr>
        <w:spacing w:after="0" w:line="360" w:lineRule="auto"/>
        <w:rPr>
          <w:rFonts w:eastAsia="Calibri"/>
          <w:color w:val="00000A"/>
          <w:sz w:val="8"/>
          <w:szCs w:val="24"/>
          <w:lang w:val="en-US"/>
        </w:rPr>
      </w:pPr>
    </w:p>
    <w:p w14:paraId="37D3647A" w14:textId="2A30D061" w:rsidR="00B00864" w:rsidRDefault="00617C82">
      <w:pPr>
        <w:spacing w:after="0"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Timing of reported poor neurological outcome</w:t>
      </w:r>
      <w:r w:rsidR="002B5315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i.e. ICU discharge, Hospital discharge or others</w:t>
      </w:r>
    </w:p>
    <w:p w14:paraId="2DB6E2D2" w14:textId="061AC65F" w:rsidR="00617C82" w:rsidRDefault="00617C82">
      <w:pPr>
        <w:spacing w:after="0" w:line="360" w:lineRule="auto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color w:val="00000A"/>
          <w:sz w:val="24"/>
          <w:szCs w:val="24"/>
          <w:lang w:val="en-US"/>
        </w:rPr>
        <w:t>Type of TTM methods</w:t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  <w:t>i.e. endovascular, blankets, ice packs or others</w:t>
      </w:r>
    </w:p>
    <w:p w14:paraId="33C3A77E" w14:textId="07CC54CB" w:rsidR="0027518B" w:rsidRDefault="0027518B">
      <w:pPr>
        <w:spacing w:after="0" w:line="360" w:lineRule="auto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color w:val="00000A"/>
          <w:sz w:val="24"/>
          <w:szCs w:val="24"/>
          <w:lang w:val="en-US"/>
        </w:rPr>
        <w:t>Definition of TTM methods</w:t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  <w:t xml:space="preserve">i.e. core vs. surface (see </w:t>
      </w:r>
      <w:r w:rsidRPr="0027518B">
        <w:rPr>
          <w:rFonts w:eastAsia="Calibri"/>
          <w:i/>
          <w:color w:val="00000A"/>
          <w:sz w:val="24"/>
          <w:szCs w:val="24"/>
          <w:lang w:val="en-US"/>
        </w:rPr>
        <w:t>Methods</w:t>
      </w:r>
      <w:r>
        <w:rPr>
          <w:rFonts w:eastAsia="Calibri"/>
          <w:color w:val="00000A"/>
          <w:sz w:val="24"/>
          <w:szCs w:val="24"/>
          <w:lang w:val="en-US"/>
        </w:rPr>
        <w:t>)</w:t>
      </w:r>
    </w:p>
    <w:p w14:paraId="4C38D73E" w14:textId="3591C1C6" w:rsidR="00617C82" w:rsidRDefault="00617C82">
      <w:pPr>
        <w:spacing w:after="0" w:line="360" w:lineRule="auto"/>
        <w:rPr>
          <w:bCs/>
          <w:sz w:val="24"/>
          <w:szCs w:val="24"/>
          <w:lang w:val="en-US" w:eastAsia="it-IT"/>
        </w:rPr>
      </w:pPr>
      <w:r>
        <w:rPr>
          <w:rFonts w:eastAsia="Calibri"/>
          <w:color w:val="00000A"/>
          <w:sz w:val="24"/>
          <w:szCs w:val="24"/>
          <w:lang w:val="en-US"/>
        </w:rPr>
        <w:t>Non-survivors</w:t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bCs/>
          <w:sz w:val="24"/>
          <w:szCs w:val="24"/>
          <w:lang w:val="en-US" w:eastAsia="it-IT"/>
        </w:rPr>
        <w:t>Number of dead patients in each group</w:t>
      </w:r>
    </w:p>
    <w:p w14:paraId="22F1073C" w14:textId="2A867952" w:rsidR="00617C82" w:rsidRPr="00617C82" w:rsidRDefault="00617C82" w:rsidP="00617C82">
      <w:pPr>
        <w:spacing w:after="0" w:line="360" w:lineRule="auto"/>
        <w:ind w:left="5040" w:hanging="5040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color w:val="00000A"/>
          <w:sz w:val="24"/>
          <w:szCs w:val="24"/>
          <w:lang w:val="en-US"/>
        </w:rPr>
        <w:t>Poor neurological outcome</w:t>
      </w:r>
      <w:r>
        <w:rPr>
          <w:rFonts w:eastAsia="Calibri"/>
          <w:color w:val="00000A"/>
          <w:sz w:val="24"/>
          <w:szCs w:val="24"/>
          <w:lang w:val="en-US"/>
        </w:rPr>
        <w:tab/>
      </w:r>
      <w:r>
        <w:rPr>
          <w:bCs/>
          <w:sz w:val="24"/>
          <w:szCs w:val="24"/>
          <w:lang w:val="en-US" w:eastAsia="it-IT"/>
        </w:rPr>
        <w:t>Number of patients with poor neurological outcome in each group</w:t>
      </w:r>
    </w:p>
    <w:p w14:paraId="75AFA232" w14:textId="77777777" w:rsidR="00D1232B" w:rsidRDefault="00D1232B">
      <w:pPr>
        <w:spacing w:after="0" w:line="360" w:lineRule="auto"/>
        <w:jc w:val="both"/>
        <w:rPr>
          <w:sz w:val="24"/>
          <w:szCs w:val="24"/>
          <w:lang w:val="en-US"/>
        </w:rPr>
      </w:pPr>
    </w:p>
    <w:p w14:paraId="6D254FDB" w14:textId="797550FC" w:rsidR="00D1232B" w:rsidRDefault="00D1232B" w:rsidP="00D1232B">
      <w:pPr>
        <w:spacing w:after="0" w:line="360" w:lineRule="auto"/>
        <w:ind w:left="5040" w:hanging="5040"/>
        <w:jc w:val="both"/>
        <w:rPr>
          <w:sz w:val="24"/>
          <w:szCs w:val="24"/>
          <w:lang w:val="en-US"/>
        </w:rPr>
      </w:pPr>
      <w:r w:rsidRPr="00D1232B">
        <w:rPr>
          <w:b/>
          <w:sz w:val="24"/>
          <w:szCs w:val="24"/>
          <w:lang w:val="en-US"/>
        </w:rPr>
        <w:t>Main Research Questions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ab/>
        <w:t>a) Can neurological outcome of patients resuscitated after cardiac arrest be influenced by the method used for targeted temperature management (TTM</w:t>
      </w:r>
      <w:proofErr w:type="gramStart"/>
      <w:r>
        <w:rPr>
          <w:sz w:val="24"/>
          <w:szCs w:val="24"/>
          <w:lang w:val="en-US"/>
        </w:rPr>
        <w:t>) ?</w:t>
      </w:r>
      <w:proofErr w:type="gramEnd"/>
    </w:p>
    <w:p w14:paraId="3573F89F" w14:textId="4A4BB6B4" w:rsidR="00D1232B" w:rsidRDefault="00D1232B" w:rsidP="00D1232B">
      <w:pPr>
        <w:spacing w:line="360" w:lineRule="auto"/>
        <w:ind w:left="50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b) Can survival of patients resuscitated after cardiac arrest be influenced by the method used for targeted temperature management (TTM</w:t>
      </w:r>
      <w:proofErr w:type="gramStart"/>
      <w:r>
        <w:rPr>
          <w:sz w:val="24"/>
          <w:szCs w:val="24"/>
          <w:lang w:val="en-US"/>
        </w:rPr>
        <w:t>) ?</w:t>
      </w:r>
      <w:proofErr w:type="gramEnd"/>
    </w:p>
    <w:p w14:paraId="6C03386A" w14:textId="379C8E7B" w:rsidR="00D1232B" w:rsidRPr="00D1232B" w:rsidRDefault="00D1232B" w:rsidP="00D1232B">
      <w:pPr>
        <w:spacing w:line="360" w:lineRule="auto"/>
        <w:ind w:left="5040" w:hanging="5040"/>
        <w:rPr>
          <w:b/>
          <w:sz w:val="24"/>
          <w:szCs w:val="24"/>
          <w:lang w:val="en-US"/>
        </w:rPr>
      </w:pPr>
      <w:r w:rsidRPr="00D1232B">
        <w:rPr>
          <w:b/>
          <w:sz w:val="24"/>
          <w:szCs w:val="24"/>
          <w:lang w:val="en-US"/>
        </w:rPr>
        <w:t>PICOS</w:t>
      </w:r>
    </w:p>
    <w:p w14:paraId="52587F68" w14:textId="21B9B28B" w:rsidR="00D1232B" w:rsidRDefault="00D1232B" w:rsidP="00D1232B">
      <w:pPr>
        <w:spacing w:line="360" w:lineRule="auto"/>
        <w:ind w:left="5040" w:hanging="50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</w:t>
      </w:r>
      <w:r w:rsidRPr="00EC799F">
        <w:rPr>
          <w:sz w:val="24"/>
          <w:szCs w:val="24"/>
          <w:lang w:val="en-US"/>
        </w:rPr>
        <w:t>articipants</w:t>
      </w:r>
      <w:r>
        <w:rPr>
          <w:sz w:val="24"/>
          <w:szCs w:val="24"/>
          <w:lang w:val="en-US"/>
        </w:rPr>
        <w:tab/>
        <w:t>Patients resuscitated from cardiac arrest undergoing targeted temperature management (TTM)</w:t>
      </w:r>
    </w:p>
    <w:p w14:paraId="249BAFED" w14:textId="51980A76" w:rsidR="00D1232B" w:rsidRDefault="00D1232B" w:rsidP="00D1232B">
      <w:pPr>
        <w:spacing w:line="360" w:lineRule="auto"/>
        <w:ind w:left="5040" w:hanging="50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</w:t>
      </w:r>
      <w:r w:rsidRPr="00EC799F">
        <w:rPr>
          <w:sz w:val="24"/>
          <w:szCs w:val="24"/>
          <w:lang w:val="en-US"/>
        </w:rPr>
        <w:t>nterventions</w:t>
      </w:r>
      <w:r>
        <w:rPr>
          <w:sz w:val="24"/>
          <w:szCs w:val="24"/>
          <w:lang w:val="en-US"/>
        </w:rPr>
        <w:tab/>
        <w:t>Targeted temperature management (TTM)</w:t>
      </w:r>
    </w:p>
    <w:p w14:paraId="176F1085" w14:textId="2F721C81" w:rsidR="00D1232B" w:rsidRDefault="00D1232B" w:rsidP="00D1232B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C</w:t>
      </w:r>
      <w:r w:rsidRPr="00EC799F">
        <w:rPr>
          <w:sz w:val="24"/>
          <w:szCs w:val="24"/>
          <w:lang w:val="en-US"/>
        </w:rPr>
        <w:t>omparisons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At least two different TTM methods</w:t>
      </w:r>
    </w:p>
    <w:p w14:paraId="0A03BDF0" w14:textId="01FBAEEB" w:rsidR="00D1232B" w:rsidRDefault="00D1232B" w:rsidP="00D1232B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</w:t>
      </w:r>
      <w:r w:rsidRPr="00EC799F">
        <w:rPr>
          <w:sz w:val="24"/>
          <w:szCs w:val="24"/>
          <w:lang w:val="en-US"/>
        </w:rPr>
        <w:t>utcomes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Neurological Outcome; Mortality</w:t>
      </w:r>
    </w:p>
    <w:p w14:paraId="1AF33266" w14:textId="77777777" w:rsidR="00D1232B" w:rsidRDefault="00D1232B" w:rsidP="00D1232B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</w:t>
      </w:r>
      <w:r w:rsidRPr="00EC799F">
        <w:rPr>
          <w:sz w:val="24"/>
          <w:szCs w:val="24"/>
          <w:lang w:val="en-US"/>
        </w:rPr>
        <w:t xml:space="preserve">tudy design 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Retrospective, Prospective and Randomized</w:t>
      </w:r>
    </w:p>
    <w:p w14:paraId="1694F08F" w14:textId="61C37057" w:rsidR="00B00864" w:rsidRPr="00D1232B" w:rsidRDefault="002B5315" w:rsidP="00D1232B">
      <w:p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_______________________________________________________</w:t>
      </w:r>
      <w:r w:rsidR="00D1232B">
        <w:rPr>
          <w:sz w:val="24"/>
          <w:szCs w:val="24"/>
          <w:lang w:val="en-US"/>
        </w:rPr>
        <w:t>_______________________</w:t>
      </w:r>
    </w:p>
    <w:p w14:paraId="6ADD6AAC" w14:textId="67F41F6D" w:rsidR="00B00864" w:rsidRPr="0027518B" w:rsidRDefault="00617C82">
      <w:pPr>
        <w:spacing w:after="0" w:line="360" w:lineRule="auto"/>
        <w:jc w:val="both"/>
        <w:rPr>
          <w:sz w:val="24"/>
          <w:szCs w:val="24"/>
        </w:rPr>
      </w:pPr>
      <w:r w:rsidRPr="0027518B">
        <w:rPr>
          <w:sz w:val="24"/>
          <w:szCs w:val="24"/>
          <w:lang w:val="en-US"/>
        </w:rPr>
        <w:t>OHCA = out-of-hospital cardiac arrest; IHCA = in-hospital cardiac arrest; ICU = intensive care unit</w:t>
      </w:r>
    </w:p>
    <w:p w14:paraId="108BF018" w14:textId="77777777" w:rsidR="00617C82" w:rsidRDefault="00617C82">
      <w:pPr>
        <w:suppressAutoHyphens w:val="0"/>
        <w:spacing w:after="0"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14:paraId="4B5248B0" w14:textId="3BAFE051" w:rsidR="00B00864" w:rsidRPr="00DA7503" w:rsidRDefault="002B5315">
      <w:pPr>
        <w:spacing w:after="0" w:line="360" w:lineRule="auto"/>
        <w:jc w:val="both"/>
      </w:pPr>
      <w:r>
        <w:rPr>
          <w:b/>
          <w:sz w:val="24"/>
          <w:szCs w:val="24"/>
          <w:lang w:val="en-US"/>
        </w:rPr>
        <w:lastRenderedPageBreak/>
        <w:t xml:space="preserve">Table </w:t>
      </w:r>
      <w:r w:rsidR="00251774">
        <w:rPr>
          <w:b/>
          <w:sz w:val="24"/>
          <w:szCs w:val="24"/>
          <w:lang w:val="en-US"/>
        </w:rPr>
        <w:t>S</w:t>
      </w:r>
      <w:r>
        <w:rPr>
          <w:b/>
          <w:sz w:val="24"/>
          <w:szCs w:val="24"/>
          <w:lang w:val="en-US"/>
        </w:rPr>
        <w:t>2</w:t>
      </w:r>
      <w:proofErr w:type="gramStart"/>
      <w:r w:rsidR="00DA7503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 xml:space="preserve">  </w:t>
      </w:r>
      <w:proofErr w:type="gramEnd"/>
      <w:r w:rsidRPr="00DA7503">
        <w:rPr>
          <w:sz w:val="24"/>
          <w:szCs w:val="24"/>
          <w:lang w:val="en-US"/>
        </w:rPr>
        <w:t>Full text articles excluded, not fitting eligibility criteria</w:t>
      </w:r>
      <w:r w:rsidR="00DA7503">
        <w:rPr>
          <w:sz w:val="24"/>
          <w:szCs w:val="24"/>
          <w:lang w:val="en-US"/>
        </w:rPr>
        <w:t>.</w:t>
      </w:r>
    </w:p>
    <w:tbl>
      <w:tblPr>
        <w:tblW w:w="916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61"/>
      </w:tblGrid>
      <w:tr w:rsidR="00B00864" w14:paraId="646C6EEE" w14:textId="77777777" w:rsidTr="00DA7503">
        <w:trPr>
          <w:trHeight w:val="422"/>
        </w:trPr>
        <w:tc>
          <w:tcPr>
            <w:tcW w:w="9161" w:type="dxa"/>
            <w:tcBorders>
              <w:top w:val="single" w:sz="0" w:space="0" w:color="000000"/>
              <w:bottom w:val="single" w:sz="0" w:space="0" w:color="000000"/>
            </w:tcBorders>
            <w:vAlign w:val="center"/>
          </w:tcPr>
          <w:p w14:paraId="2EBB59B0" w14:textId="77777777" w:rsidR="00B00864" w:rsidRDefault="002B5315">
            <w:pPr>
              <w:tabs>
                <w:tab w:val="left" w:pos="4995"/>
              </w:tabs>
              <w:spacing w:after="0" w:line="360" w:lineRule="auto"/>
              <w:jc w:val="both"/>
            </w:pPr>
            <w:r>
              <w:rPr>
                <w:b/>
                <w:sz w:val="22"/>
                <w:szCs w:val="22"/>
                <w:lang w:val="en-US"/>
              </w:rPr>
              <w:t>Excluded Studies</w:t>
            </w:r>
            <w:r>
              <w:rPr>
                <w:b/>
                <w:sz w:val="22"/>
                <w:szCs w:val="22"/>
                <w:lang w:val="en-US"/>
              </w:rPr>
              <w:tab/>
              <w:t>Main reason for exclusion</w:t>
            </w:r>
          </w:p>
        </w:tc>
      </w:tr>
    </w:tbl>
    <w:p w14:paraId="2EE890EE" w14:textId="77777777" w:rsidR="00B00864" w:rsidRDefault="00B00864">
      <w:pPr>
        <w:spacing w:after="0" w:line="360" w:lineRule="auto"/>
        <w:jc w:val="both"/>
        <w:rPr>
          <w:sz w:val="4"/>
          <w:szCs w:val="4"/>
          <w:lang w:val="en-US"/>
        </w:rPr>
      </w:pPr>
    </w:p>
    <w:p w14:paraId="2B0CC697" w14:textId="576C3781" w:rsidR="00B00864" w:rsidRDefault="0036319A">
      <w:pPr>
        <w:spacing w:after="0" w:line="360" w:lineRule="auto"/>
        <w:jc w:val="both"/>
      </w:pPr>
      <w:r>
        <w:rPr>
          <w:lang w:val="en-US"/>
        </w:rPr>
        <w:t>Holzer</w:t>
      </w:r>
      <w:r w:rsidR="002B5315">
        <w:rPr>
          <w:lang w:val="en-US"/>
        </w:rPr>
        <w:t xml:space="preserve"> et al. 20</w:t>
      </w:r>
      <w:r>
        <w:rPr>
          <w:lang w:val="en-US"/>
        </w:rPr>
        <w:t>06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 xml:space="preserve">               Normotherm</w:t>
      </w:r>
      <w:r w:rsidR="00337D8C">
        <w:rPr>
          <w:lang w:val="en-US"/>
        </w:rPr>
        <w:t>ic</w:t>
      </w:r>
      <w:r>
        <w:rPr>
          <w:lang w:val="en-US"/>
        </w:rPr>
        <w:t xml:space="preserve"> control group</w:t>
      </w:r>
      <w:r w:rsidR="002B5315">
        <w:rPr>
          <w:lang w:val="en-US"/>
        </w:rPr>
        <w:t>.</w:t>
      </w:r>
    </w:p>
    <w:p w14:paraId="242B5750" w14:textId="2E2F5F49" w:rsidR="00B00864" w:rsidRDefault="0036319A">
      <w:pPr>
        <w:spacing w:after="0" w:line="360" w:lineRule="auto"/>
        <w:jc w:val="both"/>
      </w:pPr>
      <w:r>
        <w:rPr>
          <w:lang w:val="en-US"/>
        </w:rPr>
        <w:t>Fink</w:t>
      </w:r>
      <w:r w:rsidR="002B5315">
        <w:rPr>
          <w:lang w:val="en-US"/>
        </w:rPr>
        <w:t xml:space="preserve"> et al. 20</w:t>
      </w:r>
      <w:r>
        <w:rPr>
          <w:lang w:val="en-US"/>
        </w:rPr>
        <w:t>08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Article in German</w:t>
      </w:r>
    </w:p>
    <w:p w14:paraId="2DC16457" w14:textId="54C03057" w:rsidR="00B00864" w:rsidRDefault="0036319A">
      <w:pPr>
        <w:spacing w:after="0" w:line="360" w:lineRule="auto"/>
        <w:jc w:val="both"/>
      </w:pPr>
      <w:r>
        <w:rPr>
          <w:lang w:val="en-US"/>
        </w:rPr>
        <w:t>Lin et al</w:t>
      </w:r>
      <w:proofErr w:type="gramStart"/>
      <w:r>
        <w:rPr>
          <w:lang w:val="en-US"/>
        </w:rPr>
        <w:t xml:space="preserve">. </w:t>
      </w:r>
      <w:r w:rsidR="002B5315">
        <w:rPr>
          <w:lang w:val="en-US"/>
        </w:rPr>
        <w:t xml:space="preserve"> </w:t>
      </w:r>
      <w:proofErr w:type="gramEnd"/>
      <w:r w:rsidR="002B5315">
        <w:rPr>
          <w:lang w:val="en-US"/>
        </w:rPr>
        <w:t xml:space="preserve">2014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Normothermi</w:t>
      </w:r>
      <w:r w:rsidR="00337D8C">
        <w:rPr>
          <w:lang w:val="en-US"/>
        </w:rPr>
        <w:t xml:space="preserve">c </w:t>
      </w:r>
      <w:r>
        <w:rPr>
          <w:lang w:val="en-US"/>
        </w:rPr>
        <w:t>control group</w:t>
      </w:r>
      <w:r w:rsidR="002B5315">
        <w:rPr>
          <w:lang w:val="en-US"/>
        </w:rPr>
        <w:t>.</w:t>
      </w:r>
    </w:p>
    <w:p w14:paraId="6F3333FF" w14:textId="03DDF99A" w:rsidR="00B00864" w:rsidRDefault="0036319A">
      <w:pPr>
        <w:spacing w:after="0" w:line="360" w:lineRule="auto"/>
        <w:jc w:val="both"/>
      </w:pPr>
      <w:proofErr w:type="spellStart"/>
      <w:proofErr w:type="gramStart"/>
      <w:r>
        <w:rPr>
          <w:lang w:val="en-US"/>
        </w:rPr>
        <w:t>Hegazy</w:t>
      </w:r>
      <w:proofErr w:type="spellEnd"/>
      <w:r w:rsidR="002B5315">
        <w:rPr>
          <w:lang w:val="en-US"/>
        </w:rPr>
        <w:t xml:space="preserve"> et al. 201</w:t>
      </w:r>
      <w:r>
        <w:rPr>
          <w:lang w:val="en-US"/>
        </w:rPr>
        <w:t>7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Case report</w:t>
      </w:r>
      <w:r w:rsidR="002B5315">
        <w:rPr>
          <w:lang w:val="en-US"/>
        </w:rPr>
        <w:t>.</w:t>
      </w:r>
      <w:proofErr w:type="gramEnd"/>
    </w:p>
    <w:p w14:paraId="1A5EA80A" w14:textId="115BE97D" w:rsidR="00B00864" w:rsidRPr="00337D8C" w:rsidRDefault="0036319A">
      <w:pPr>
        <w:spacing w:after="0" w:line="360" w:lineRule="auto"/>
        <w:jc w:val="both"/>
        <w:rPr>
          <w:lang w:val="it-IT"/>
        </w:rPr>
      </w:pPr>
      <w:r w:rsidRPr="00337D8C">
        <w:rPr>
          <w:lang w:val="it-IT"/>
        </w:rPr>
        <w:t>Markota</w:t>
      </w:r>
      <w:r w:rsidR="002B5315" w:rsidRPr="00337D8C">
        <w:rPr>
          <w:lang w:val="it-IT"/>
        </w:rPr>
        <w:t xml:space="preserve"> et al. 201</w:t>
      </w:r>
      <w:r w:rsidRPr="00337D8C">
        <w:rPr>
          <w:lang w:val="it-IT"/>
        </w:rPr>
        <w:t>6</w:t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337D8C" w:rsidRPr="00337D8C">
        <w:rPr>
          <w:lang w:val="it-IT"/>
        </w:rPr>
        <w:t>No</w:t>
      </w:r>
      <w:r w:rsidRPr="00337D8C">
        <w:rPr>
          <w:lang w:val="it-IT"/>
        </w:rPr>
        <w:t xml:space="preserve"> control group</w:t>
      </w:r>
      <w:r w:rsidR="002B5315" w:rsidRPr="00337D8C">
        <w:rPr>
          <w:lang w:val="it-IT"/>
        </w:rPr>
        <w:t>.</w:t>
      </w:r>
    </w:p>
    <w:p w14:paraId="3C613869" w14:textId="75AF5295" w:rsidR="00B00864" w:rsidRPr="00337D8C" w:rsidRDefault="0036319A">
      <w:pPr>
        <w:spacing w:after="0" w:line="360" w:lineRule="auto"/>
        <w:jc w:val="both"/>
        <w:rPr>
          <w:lang w:val="it-IT"/>
        </w:rPr>
      </w:pPr>
      <w:r w:rsidRPr="00337D8C">
        <w:rPr>
          <w:lang w:val="it-IT"/>
        </w:rPr>
        <w:t>Grave</w:t>
      </w:r>
      <w:r w:rsidR="002B5315" w:rsidRPr="00337D8C">
        <w:rPr>
          <w:lang w:val="it-IT"/>
        </w:rPr>
        <w:t xml:space="preserve"> et al. 201</w:t>
      </w:r>
      <w:r w:rsidRPr="00337D8C">
        <w:rPr>
          <w:lang w:val="it-IT"/>
        </w:rPr>
        <w:t xml:space="preserve">6  </w:t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2B5315" w:rsidRPr="00337D8C">
        <w:rPr>
          <w:lang w:val="it-IT"/>
        </w:rPr>
        <w:tab/>
      </w:r>
      <w:r w:rsidR="00337D8C" w:rsidRPr="00337D8C">
        <w:rPr>
          <w:lang w:val="it-IT"/>
        </w:rPr>
        <w:t>No</w:t>
      </w:r>
      <w:r w:rsidRPr="00337D8C">
        <w:rPr>
          <w:lang w:val="it-IT"/>
        </w:rPr>
        <w:t xml:space="preserve"> control group</w:t>
      </w:r>
      <w:r w:rsidR="002B5315" w:rsidRPr="00337D8C">
        <w:rPr>
          <w:lang w:val="it-IT"/>
        </w:rPr>
        <w:t>.</w:t>
      </w:r>
    </w:p>
    <w:p w14:paraId="78BDF77F" w14:textId="35BFF836" w:rsidR="00B00864" w:rsidRDefault="00337D8C">
      <w:pPr>
        <w:spacing w:after="0" w:line="360" w:lineRule="auto"/>
        <w:jc w:val="both"/>
      </w:pPr>
      <w:r>
        <w:rPr>
          <w:lang w:val="en-US"/>
        </w:rPr>
        <w:t>Bernard</w:t>
      </w:r>
      <w:r w:rsidR="002B5315">
        <w:rPr>
          <w:lang w:val="en-US"/>
        </w:rPr>
        <w:t xml:space="preserve"> et al. 2016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Normothermic control group</w:t>
      </w:r>
      <w:r w:rsidR="002B5315">
        <w:rPr>
          <w:lang w:val="en-US"/>
        </w:rPr>
        <w:t>.</w:t>
      </w:r>
    </w:p>
    <w:p w14:paraId="2ACCBDCC" w14:textId="283D5A9C" w:rsidR="00B00864" w:rsidRDefault="00337D8C">
      <w:pPr>
        <w:spacing w:after="0" w:line="360" w:lineRule="auto"/>
        <w:jc w:val="both"/>
      </w:pPr>
      <w:proofErr w:type="spellStart"/>
      <w:r>
        <w:rPr>
          <w:lang w:val="en-US"/>
        </w:rPr>
        <w:t>Polderman</w:t>
      </w:r>
      <w:proofErr w:type="spellEnd"/>
      <w:r w:rsidR="002B5315">
        <w:rPr>
          <w:lang w:val="en-US"/>
        </w:rPr>
        <w:t xml:space="preserve"> et al. 2015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No control group</w:t>
      </w:r>
      <w:r w:rsidR="002B5315">
        <w:rPr>
          <w:lang w:val="en-US"/>
        </w:rPr>
        <w:t>.</w:t>
      </w:r>
    </w:p>
    <w:p w14:paraId="0B99FBED" w14:textId="0F9D2181" w:rsidR="00B00864" w:rsidRDefault="00337D8C">
      <w:pPr>
        <w:spacing w:after="0" w:line="360" w:lineRule="auto"/>
        <w:jc w:val="both"/>
      </w:pPr>
      <w:proofErr w:type="spellStart"/>
      <w:r>
        <w:rPr>
          <w:lang w:val="en-US"/>
        </w:rPr>
        <w:t>Kliegel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>0</w:t>
      </w:r>
      <w:r w:rsidR="002B5315">
        <w:rPr>
          <w:lang w:val="en-US"/>
        </w:rPr>
        <w:t>5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  <w:t xml:space="preserve">No </w:t>
      </w:r>
      <w:r>
        <w:rPr>
          <w:lang w:val="en-US"/>
        </w:rPr>
        <w:t>control group</w:t>
      </w:r>
      <w:r w:rsidR="002B5315">
        <w:rPr>
          <w:lang w:val="en-US"/>
        </w:rPr>
        <w:t>.</w:t>
      </w:r>
    </w:p>
    <w:p w14:paraId="2D626B25" w14:textId="5AC01354" w:rsidR="00B00864" w:rsidRDefault="00337D8C">
      <w:pPr>
        <w:spacing w:after="0" w:line="360" w:lineRule="auto"/>
        <w:jc w:val="both"/>
      </w:pPr>
      <w:proofErr w:type="spellStart"/>
      <w:proofErr w:type="gramStart"/>
      <w:r>
        <w:rPr>
          <w:lang w:val="en-US"/>
        </w:rPr>
        <w:t>Karacan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>09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Article in Danish</w:t>
      </w:r>
      <w:r w:rsidR="002B5315">
        <w:rPr>
          <w:lang w:val="en-US"/>
        </w:rPr>
        <w:t>.</w:t>
      </w:r>
      <w:proofErr w:type="gramEnd"/>
    </w:p>
    <w:p w14:paraId="33B53F30" w14:textId="2DF0FA6C" w:rsidR="00B00864" w:rsidRDefault="00337D8C">
      <w:pPr>
        <w:spacing w:after="0" w:line="360" w:lineRule="auto"/>
        <w:jc w:val="both"/>
      </w:pPr>
      <w:proofErr w:type="spellStart"/>
      <w:r>
        <w:rPr>
          <w:lang w:val="en-US"/>
        </w:rPr>
        <w:t>Kamarainen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>09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Normothermic control group</w:t>
      </w:r>
      <w:r w:rsidR="002B5315">
        <w:rPr>
          <w:lang w:val="en-US"/>
        </w:rPr>
        <w:t>.</w:t>
      </w:r>
    </w:p>
    <w:p w14:paraId="4B45D89F" w14:textId="11C1DFF3" w:rsidR="00B00864" w:rsidRDefault="00337D8C">
      <w:pPr>
        <w:spacing w:after="0" w:line="360" w:lineRule="auto"/>
        <w:jc w:val="both"/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Bourmont</w:t>
      </w:r>
      <w:proofErr w:type="spellEnd"/>
      <w:r>
        <w:rPr>
          <w:lang w:val="en-US"/>
        </w:rPr>
        <w:t xml:space="preserve"> et al.</w:t>
      </w:r>
      <w:r w:rsidR="002B5315">
        <w:rPr>
          <w:lang w:val="en-US"/>
        </w:rPr>
        <w:t xml:space="preserve"> 201</w:t>
      </w:r>
      <w:r>
        <w:rPr>
          <w:lang w:val="en-US"/>
        </w:rPr>
        <w:t>5</w:t>
      </w:r>
      <w:r w:rsidR="002B5315">
        <w:rPr>
          <w:lang w:val="en-US"/>
        </w:rPr>
        <w:t xml:space="preserve">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No control group</w:t>
      </w:r>
      <w:r w:rsidR="002B5315">
        <w:rPr>
          <w:lang w:val="en-US"/>
        </w:rPr>
        <w:t>.</w:t>
      </w:r>
    </w:p>
    <w:p w14:paraId="519430D7" w14:textId="2ED0593D" w:rsidR="00B00864" w:rsidRDefault="00337D8C">
      <w:pPr>
        <w:spacing w:after="0" w:line="360" w:lineRule="auto"/>
        <w:jc w:val="both"/>
      </w:pPr>
      <w:proofErr w:type="spellStart"/>
      <w:r>
        <w:rPr>
          <w:lang w:val="en-US"/>
        </w:rPr>
        <w:t>Knapik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>11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Full article not found</w:t>
      </w:r>
      <w:r w:rsidR="002B5315">
        <w:rPr>
          <w:lang w:val="en-US"/>
        </w:rPr>
        <w:t>.</w:t>
      </w:r>
    </w:p>
    <w:p w14:paraId="3D228338" w14:textId="225EAD78" w:rsidR="00B00864" w:rsidRDefault="00337D8C">
      <w:pPr>
        <w:spacing w:after="0" w:line="360" w:lineRule="auto"/>
        <w:jc w:val="both"/>
      </w:pPr>
      <w:proofErr w:type="spellStart"/>
      <w:proofErr w:type="gramStart"/>
      <w:r>
        <w:rPr>
          <w:lang w:val="en-US"/>
        </w:rPr>
        <w:t>Castren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>10</w:t>
      </w:r>
      <w:r w:rsidR="002B5315">
        <w:rPr>
          <w:lang w:val="en-US"/>
        </w:rPr>
        <w:t xml:space="preserve">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Intra-arrest cooling</w:t>
      </w:r>
      <w:r w:rsidR="002B5315">
        <w:rPr>
          <w:lang w:val="en-US"/>
        </w:rPr>
        <w:t>.</w:t>
      </w:r>
      <w:proofErr w:type="gramEnd"/>
    </w:p>
    <w:p w14:paraId="7010D062" w14:textId="7185CE5D" w:rsidR="00B00864" w:rsidRPr="00691365" w:rsidRDefault="00615EDF">
      <w:pPr>
        <w:spacing w:after="0" w:line="360" w:lineRule="auto"/>
        <w:jc w:val="both"/>
        <w:rPr>
          <w:lang w:val="en-US"/>
        </w:rPr>
      </w:pPr>
      <w:r w:rsidRPr="00691365">
        <w:rPr>
          <w:lang w:val="en-US"/>
        </w:rPr>
        <w:t>Takeda</w:t>
      </w:r>
      <w:r w:rsidR="002B5315" w:rsidRPr="00691365">
        <w:rPr>
          <w:lang w:val="en-US"/>
        </w:rPr>
        <w:t xml:space="preserve"> et al. 201</w:t>
      </w:r>
      <w:r w:rsidRPr="00691365">
        <w:rPr>
          <w:lang w:val="en-US"/>
        </w:rPr>
        <w:t>4</w:t>
      </w:r>
      <w:r w:rsidR="002B5315" w:rsidRPr="00691365">
        <w:rPr>
          <w:lang w:val="en-US"/>
        </w:rPr>
        <w:tab/>
      </w:r>
      <w:r w:rsidR="002B5315" w:rsidRPr="00691365">
        <w:rPr>
          <w:lang w:val="en-US"/>
        </w:rPr>
        <w:tab/>
      </w:r>
      <w:r w:rsidR="002B5315" w:rsidRPr="00691365">
        <w:rPr>
          <w:lang w:val="en-US"/>
        </w:rPr>
        <w:tab/>
      </w:r>
      <w:r w:rsidR="002B5315" w:rsidRPr="00691365">
        <w:rPr>
          <w:lang w:val="en-US"/>
        </w:rPr>
        <w:tab/>
      </w:r>
      <w:r w:rsidR="002B5315" w:rsidRPr="00691365">
        <w:rPr>
          <w:lang w:val="en-US"/>
        </w:rPr>
        <w:tab/>
      </w:r>
      <w:r w:rsidRPr="00691365">
        <w:rPr>
          <w:lang w:val="en-US"/>
        </w:rPr>
        <w:t>Mixed cooling</w:t>
      </w:r>
      <w:r w:rsidR="002B5315" w:rsidRPr="00691365">
        <w:rPr>
          <w:lang w:val="en-US"/>
        </w:rPr>
        <w:t>.</w:t>
      </w:r>
    </w:p>
    <w:p w14:paraId="50174606" w14:textId="641CC802" w:rsidR="00B00864" w:rsidRDefault="00615EDF">
      <w:pPr>
        <w:spacing w:after="0" w:line="360" w:lineRule="auto"/>
        <w:jc w:val="both"/>
      </w:pPr>
      <w:proofErr w:type="spellStart"/>
      <w:r>
        <w:rPr>
          <w:lang w:val="en-US"/>
        </w:rPr>
        <w:t>Uray</w:t>
      </w:r>
      <w:proofErr w:type="spellEnd"/>
      <w:r w:rsidR="002B5315">
        <w:rPr>
          <w:lang w:val="en-US"/>
        </w:rPr>
        <w:t xml:space="preserve"> et al. 20</w:t>
      </w:r>
      <w:r>
        <w:rPr>
          <w:lang w:val="en-US"/>
        </w:rPr>
        <w:t xml:space="preserve">10    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Mixed cooling</w:t>
      </w:r>
      <w:r w:rsidR="002B5315">
        <w:rPr>
          <w:lang w:val="en-US"/>
        </w:rPr>
        <w:t>.</w:t>
      </w:r>
    </w:p>
    <w:p w14:paraId="27E628ED" w14:textId="0D4977CB" w:rsidR="00B00864" w:rsidRPr="00691365" w:rsidRDefault="00615EDF">
      <w:pPr>
        <w:spacing w:after="0" w:line="360" w:lineRule="auto"/>
        <w:jc w:val="both"/>
        <w:rPr>
          <w:lang w:val="nl-BE"/>
        </w:rPr>
      </w:pPr>
      <w:r w:rsidRPr="00691365">
        <w:rPr>
          <w:lang w:val="nl-BE"/>
        </w:rPr>
        <w:t>De Waard</w:t>
      </w:r>
      <w:r w:rsidR="002B5315" w:rsidRPr="00691365">
        <w:rPr>
          <w:lang w:val="nl-BE"/>
        </w:rPr>
        <w:t xml:space="preserve"> et al. 201</w:t>
      </w:r>
      <w:r w:rsidRPr="00691365">
        <w:rPr>
          <w:lang w:val="nl-BE"/>
        </w:rPr>
        <w:t>3</w:t>
      </w:r>
      <w:r w:rsidR="002B5315" w:rsidRPr="00691365">
        <w:rPr>
          <w:lang w:val="nl-BE"/>
        </w:rPr>
        <w:tab/>
      </w:r>
      <w:r w:rsidR="002B5315" w:rsidRPr="00691365">
        <w:rPr>
          <w:lang w:val="nl-BE"/>
        </w:rPr>
        <w:tab/>
      </w:r>
      <w:r w:rsidR="002B5315" w:rsidRPr="00691365">
        <w:rPr>
          <w:lang w:val="nl-BE"/>
        </w:rPr>
        <w:tab/>
      </w:r>
      <w:r w:rsidR="002B5315" w:rsidRPr="00691365">
        <w:rPr>
          <w:lang w:val="nl-BE"/>
        </w:rPr>
        <w:tab/>
      </w:r>
      <w:r w:rsidR="002B5315" w:rsidRPr="00691365">
        <w:rPr>
          <w:lang w:val="nl-BE"/>
        </w:rPr>
        <w:tab/>
      </w:r>
      <w:r w:rsidRPr="00691365">
        <w:rPr>
          <w:lang w:val="nl-BE"/>
        </w:rPr>
        <w:t>Duplicate</w:t>
      </w:r>
      <w:r w:rsidR="002B5315" w:rsidRPr="00691365">
        <w:rPr>
          <w:lang w:val="nl-BE"/>
        </w:rPr>
        <w:t>.</w:t>
      </w:r>
    </w:p>
    <w:p w14:paraId="43BCD048" w14:textId="290699F4" w:rsidR="00B00864" w:rsidRPr="00615EDF" w:rsidRDefault="00615EDF">
      <w:pPr>
        <w:spacing w:after="0" w:line="360" w:lineRule="auto"/>
        <w:jc w:val="both"/>
        <w:rPr>
          <w:lang w:val="it-IT"/>
        </w:rPr>
      </w:pPr>
      <w:r w:rsidRPr="00615EDF">
        <w:rPr>
          <w:lang w:val="it-IT"/>
        </w:rPr>
        <w:t>Shinada</w:t>
      </w:r>
      <w:r w:rsidR="002B5315" w:rsidRPr="00615EDF">
        <w:rPr>
          <w:lang w:val="it-IT"/>
        </w:rPr>
        <w:t xml:space="preserve"> et al. 201</w:t>
      </w:r>
      <w:r w:rsidRPr="00615EDF">
        <w:rPr>
          <w:lang w:val="it-IT"/>
        </w:rPr>
        <w:t>4</w:t>
      </w:r>
      <w:r w:rsidR="002B5315" w:rsidRPr="00615EDF">
        <w:rPr>
          <w:lang w:val="it-IT"/>
        </w:rPr>
        <w:tab/>
      </w:r>
      <w:r w:rsidR="002B5315" w:rsidRPr="00615EDF">
        <w:rPr>
          <w:lang w:val="it-IT"/>
        </w:rPr>
        <w:tab/>
      </w:r>
      <w:r w:rsidR="002B5315" w:rsidRPr="00615EDF">
        <w:rPr>
          <w:lang w:val="it-IT"/>
        </w:rPr>
        <w:tab/>
      </w:r>
      <w:r w:rsidR="002B5315" w:rsidRPr="00615EDF">
        <w:rPr>
          <w:lang w:val="it-IT"/>
        </w:rPr>
        <w:tab/>
      </w:r>
      <w:r w:rsidR="002B5315" w:rsidRPr="00615EDF">
        <w:rPr>
          <w:lang w:val="it-IT"/>
        </w:rPr>
        <w:tab/>
      </w:r>
      <w:r w:rsidRPr="00615EDF">
        <w:rPr>
          <w:lang w:val="it-IT"/>
        </w:rPr>
        <w:t>Duplicate</w:t>
      </w:r>
      <w:r w:rsidR="002B5315" w:rsidRPr="00615EDF">
        <w:rPr>
          <w:lang w:val="it-IT"/>
        </w:rPr>
        <w:t>.</w:t>
      </w:r>
    </w:p>
    <w:p w14:paraId="3D8F3F3C" w14:textId="63691408" w:rsidR="00B00864" w:rsidRPr="00617C82" w:rsidRDefault="00615EDF">
      <w:pPr>
        <w:spacing w:after="0" w:line="360" w:lineRule="auto"/>
        <w:jc w:val="both"/>
        <w:rPr>
          <w:lang w:val="fr-BE"/>
        </w:rPr>
      </w:pPr>
      <w:r>
        <w:rPr>
          <w:lang w:val="fr-BE"/>
        </w:rPr>
        <w:t>Rana</w:t>
      </w:r>
      <w:r w:rsidR="002B5315" w:rsidRPr="00617C82">
        <w:rPr>
          <w:lang w:val="fr-BE"/>
        </w:rPr>
        <w:t xml:space="preserve"> et al. </w:t>
      </w:r>
      <w:r>
        <w:rPr>
          <w:lang w:val="fr-BE"/>
        </w:rPr>
        <w:t xml:space="preserve">2011   </w:t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Pr="00615EDF">
        <w:rPr>
          <w:lang w:val="it-IT"/>
        </w:rPr>
        <w:t>Duplicate</w:t>
      </w:r>
      <w:r w:rsidR="002B5315" w:rsidRPr="00617C82">
        <w:rPr>
          <w:lang w:val="fr-BE"/>
        </w:rPr>
        <w:t>.</w:t>
      </w:r>
    </w:p>
    <w:p w14:paraId="3B79BBE9" w14:textId="7D80F19A" w:rsidR="00B00864" w:rsidRPr="00617C82" w:rsidRDefault="00615EDF">
      <w:pPr>
        <w:spacing w:after="0" w:line="360" w:lineRule="auto"/>
        <w:jc w:val="both"/>
        <w:rPr>
          <w:lang w:val="fr-BE"/>
        </w:rPr>
      </w:pPr>
      <w:r>
        <w:rPr>
          <w:lang w:val="fr-BE"/>
        </w:rPr>
        <w:t>Heard</w:t>
      </w:r>
      <w:r w:rsidR="002B5315" w:rsidRPr="00617C82">
        <w:rPr>
          <w:lang w:val="fr-BE"/>
        </w:rPr>
        <w:t xml:space="preserve"> et al. </w:t>
      </w:r>
      <w:r>
        <w:rPr>
          <w:lang w:val="fr-BE"/>
        </w:rPr>
        <w:t xml:space="preserve">2010  </w:t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="002B5315" w:rsidRPr="00617C82">
        <w:rPr>
          <w:lang w:val="fr-BE"/>
        </w:rPr>
        <w:tab/>
      </w:r>
      <w:r w:rsidRPr="00691365">
        <w:rPr>
          <w:lang w:val="fr-BE"/>
        </w:rPr>
        <w:t>Duplicate</w:t>
      </w:r>
      <w:r w:rsidR="002B5315" w:rsidRPr="00617C82">
        <w:rPr>
          <w:lang w:val="fr-BE"/>
        </w:rPr>
        <w:t>.</w:t>
      </w:r>
    </w:p>
    <w:p w14:paraId="482AAEB0" w14:textId="1D1E8DB1" w:rsidR="00B00864" w:rsidRPr="00691365" w:rsidRDefault="00615EDF">
      <w:pPr>
        <w:spacing w:after="0" w:line="360" w:lineRule="auto"/>
        <w:jc w:val="both"/>
        <w:rPr>
          <w:lang w:val="fr-BE"/>
        </w:rPr>
      </w:pPr>
      <w:r w:rsidRPr="00691365">
        <w:rPr>
          <w:lang w:val="fr-BE"/>
        </w:rPr>
        <w:t>Laurent</w:t>
      </w:r>
      <w:r w:rsidR="002B5315" w:rsidRPr="00691365">
        <w:rPr>
          <w:lang w:val="fr-BE"/>
        </w:rPr>
        <w:t xml:space="preserve"> et al. 20</w:t>
      </w:r>
      <w:r w:rsidRPr="00691365">
        <w:rPr>
          <w:lang w:val="fr-BE"/>
        </w:rPr>
        <w:t>05</w:t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proofErr w:type="spellStart"/>
      <w:r w:rsidRPr="00691365">
        <w:rPr>
          <w:lang w:val="fr-BE"/>
        </w:rPr>
        <w:t>Normothermic</w:t>
      </w:r>
      <w:proofErr w:type="spellEnd"/>
      <w:r w:rsidRPr="00691365">
        <w:rPr>
          <w:lang w:val="fr-BE"/>
        </w:rPr>
        <w:t xml:space="preserve"> control group</w:t>
      </w:r>
      <w:r w:rsidR="002B5315" w:rsidRPr="00691365">
        <w:rPr>
          <w:lang w:val="fr-BE"/>
        </w:rPr>
        <w:t>.</w:t>
      </w:r>
    </w:p>
    <w:p w14:paraId="287C75FF" w14:textId="1A78C397" w:rsidR="00B00864" w:rsidRPr="00691365" w:rsidRDefault="00615EDF">
      <w:pPr>
        <w:spacing w:after="0" w:line="360" w:lineRule="auto"/>
        <w:jc w:val="both"/>
        <w:rPr>
          <w:lang w:val="fr-BE"/>
        </w:rPr>
      </w:pPr>
      <w:r w:rsidRPr="00691365">
        <w:rPr>
          <w:lang w:val="fr-BE"/>
        </w:rPr>
        <w:t>Nielsen</w:t>
      </w:r>
      <w:r w:rsidR="002B5315" w:rsidRPr="00691365">
        <w:rPr>
          <w:lang w:val="fr-BE"/>
        </w:rPr>
        <w:t xml:space="preserve"> et al. 20</w:t>
      </w:r>
      <w:r w:rsidRPr="00691365">
        <w:rPr>
          <w:lang w:val="fr-BE"/>
        </w:rPr>
        <w:t>09</w:t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>
        <w:rPr>
          <w:lang w:val="fr-BE"/>
        </w:rPr>
        <w:t xml:space="preserve">Mixed </w:t>
      </w:r>
      <w:proofErr w:type="spellStart"/>
      <w:r>
        <w:rPr>
          <w:lang w:val="fr-BE"/>
        </w:rPr>
        <w:t>cooling</w:t>
      </w:r>
      <w:proofErr w:type="spellEnd"/>
      <w:r w:rsidR="002B5315" w:rsidRPr="00691365">
        <w:rPr>
          <w:lang w:val="fr-BE"/>
        </w:rPr>
        <w:t>.</w:t>
      </w:r>
    </w:p>
    <w:p w14:paraId="49C78C3B" w14:textId="1B698A51" w:rsidR="00B00864" w:rsidRPr="00691365" w:rsidRDefault="00615EDF">
      <w:pPr>
        <w:spacing w:after="0" w:line="360" w:lineRule="auto"/>
        <w:jc w:val="both"/>
        <w:rPr>
          <w:lang w:val="fr-BE"/>
        </w:rPr>
      </w:pPr>
      <w:r w:rsidRPr="00691365">
        <w:rPr>
          <w:lang w:val="fr-BE"/>
        </w:rPr>
        <w:t>Islam</w:t>
      </w:r>
      <w:r w:rsidR="002B5315" w:rsidRPr="00691365">
        <w:rPr>
          <w:lang w:val="fr-BE"/>
        </w:rPr>
        <w:t xml:space="preserve"> et al. 2015</w:t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="002B5315" w:rsidRPr="00691365">
        <w:rPr>
          <w:lang w:val="fr-BE"/>
        </w:rPr>
        <w:tab/>
      </w:r>
      <w:r w:rsidRPr="00691365">
        <w:rPr>
          <w:lang w:val="fr-BE"/>
        </w:rPr>
        <w:t xml:space="preserve">Partial </w:t>
      </w:r>
      <w:proofErr w:type="spellStart"/>
      <w:r w:rsidRPr="00691365">
        <w:rPr>
          <w:lang w:val="fr-BE"/>
        </w:rPr>
        <w:t>cooling</w:t>
      </w:r>
      <w:proofErr w:type="spellEnd"/>
      <w:r w:rsidRPr="00691365">
        <w:rPr>
          <w:lang w:val="fr-BE"/>
        </w:rPr>
        <w:t xml:space="preserve"> (induction)</w:t>
      </w:r>
      <w:r w:rsidR="00981806">
        <w:rPr>
          <w:lang w:val="fr-BE"/>
        </w:rPr>
        <w:t>.</w:t>
      </w:r>
    </w:p>
    <w:p w14:paraId="075B900C" w14:textId="3AEBF72E" w:rsidR="00B00864" w:rsidRDefault="00615EDF">
      <w:pPr>
        <w:spacing w:after="0" w:line="360" w:lineRule="auto"/>
        <w:jc w:val="both"/>
      </w:pPr>
      <w:proofErr w:type="spellStart"/>
      <w:proofErr w:type="gramStart"/>
      <w:r>
        <w:rPr>
          <w:lang w:val="en-US"/>
        </w:rPr>
        <w:t>Hoedemakers</w:t>
      </w:r>
      <w:proofErr w:type="spellEnd"/>
      <w:r w:rsidR="002B5315">
        <w:rPr>
          <w:lang w:val="en-US"/>
        </w:rPr>
        <w:t xml:space="preserve"> et al. </w:t>
      </w:r>
      <w:r>
        <w:rPr>
          <w:lang w:val="en-US"/>
        </w:rPr>
        <w:t xml:space="preserve">2007 </w:t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 w:rsidR="002B5315">
        <w:rPr>
          <w:lang w:val="en-US"/>
        </w:rPr>
        <w:tab/>
      </w:r>
      <w:r>
        <w:rPr>
          <w:lang w:val="en-US"/>
        </w:rPr>
        <w:t>Mixed population (not just cardiac arrest patients)</w:t>
      </w:r>
      <w:r w:rsidR="00981806">
        <w:rPr>
          <w:lang w:val="en-US"/>
        </w:rPr>
        <w:t>.</w:t>
      </w:r>
      <w:proofErr w:type="gramEnd"/>
    </w:p>
    <w:p w14:paraId="4F01208D" w14:textId="38C9FC7F" w:rsidR="00B00864" w:rsidRDefault="002B5315">
      <w:pPr>
        <w:spacing w:after="0" w:line="360" w:lineRule="auto"/>
        <w:jc w:val="both"/>
        <w:sectPr w:rsidR="00B008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1686" w:left="1134" w:header="720" w:footer="1134" w:gutter="0"/>
          <w:cols w:space="720"/>
          <w:docGrid w:linePitch="360" w:charSpace="-2458"/>
        </w:sectPr>
      </w:pPr>
      <w:r>
        <w:rPr>
          <w:lang w:val="en-US"/>
        </w:rPr>
        <w:t>___________________________________________________________________________________________</w:t>
      </w:r>
    </w:p>
    <w:p w14:paraId="2FB0FB0B" w14:textId="1AEA6786" w:rsidR="00B00864" w:rsidRPr="00814A51" w:rsidRDefault="00B00864">
      <w:pPr>
        <w:pStyle w:val="BodyText"/>
        <w:spacing w:after="0" w:line="360" w:lineRule="auto"/>
        <w:rPr>
          <w:sz w:val="24"/>
          <w:szCs w:val="24"/>
        </w:rPr>
      </w:pPr>
    </w:p>
    <w:p w14:paraId="20E3D523" w14:textId="7F42763F" w:rsidR="003E27DC" w:rsidRDefault="003E27DC" w:rsidP="003E27DC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1</w:t>
      </w:r>
      <w:r w:rsidR="008375A8"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2</w:t>
      </w:r>
      <w:r>
        <w:rPr>
          <w:b/>
          <w:bCs/>
          <w:sz w:val="24"/>
          <w:szCs w:val="24"/>
          <w:lang w:val="en-US"/>
        </w:rPr>
        <w:t xml:space="preserve">:  </w:t>
      </w:r>
      <w:r w:rsidRPr="005F4BC8">
        <w:rPr>
          <w:sz w:val="24"/>
          <w:szCs w:val="24"/>
          <w:lang w:val="en-US"/>
        </w:rPr>
        <w:t xml:space="preserve">Funnel plot for </w:t>
      </w:r>
      <w:r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 w:rsidR="008375A8">
        <w:rPr>
          <w:rFonts w:eastAsia="Calibri"/>
          <w:color w:val="00000A"/>
          <w:sz w:val="24"/>
          <w:szCs w:val="24"/>
          <w:lang w:val="en-US"/>
        </w:rPr>
        <w:t xml:space="preserve">comparing the impact of core and surface methods on poor neurological outcome (left) and mortality (right). </w:t>
      </w:r>
      <w:r w:rsidR="008375A8"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 w:rsidR="008375A8">
        <w:rPr>
          <w:rFonts w:eastAsia="Calibri"/>
          <w:color w:val="00000A"/>
          <w:sz w:val="24"/>
          <w:szCs w:val="24"/>
          <w:lang w:val="en-US"/>
        </w:rPr>
        <w:t>.</w:t>
      </w:r>
    </w:p>
    <w:p w14:paraId="55B07BC8" w14:textId="39C6B6E4" w:rsidR="008375A8" w:rsidRDefault="008375A8" w:rsidP="003E27DC">
      <w:pPr>
        <w:spacing w:after="0" w:line="360" w:lineRule="auto"/>
        <w:jc w:val="both"/>
      </w:pPr>
    </w:p>
    <w:p w14:paraId="2D5929E1" w14:textId="1763170E" w:rsidR="008375A8" w:rsidRPr="005F4BC8" w:rsidRDefault="008375A8" w:rsidP="003E27DC">
      <w:pPr>
        <w:spacing w:after="0" w:line="360" w:lineRule="auto"/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C72150F" wp14:editId="663D9F8D">
            <wp:simplePos x="0" y="0"/>
            <wp:positionH relativeFrom="column">
              <wp:posOffset>196770</wp:posOffset>
            </wp:positionH>
            <wp:positionV relativeFrom="paragraph">
              <wp:posOffset>96118</wp:posOffset>
            </wp:positionV>
            <wp:extent cx="3340800" cy="4446000"/>
            <wp:effectExtent l="0" t="0" r="0" b="0"/>
            <wp:wrapThrough wrapText="bothSides">
              <wp:wrapPolygon edited="0">
                <wp:start x="0" y="0"/>
                <wp:lineTo x="0" y="21535"/>
                <wp:lineTo x="21514" y="21535"/>
                <wp:lineTo x="21514" y="0"/>
                <wp:lineTo x="0" y="0"/>
              </wp:wrapPolygon>
            </wp:wrapThrough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M Fig 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0800" cy="444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736E2" w14:textId="5CA6F831" w:rsidR="003E27DC" w:rsidRPr="003E27DC" w:rsidRDefault="003E27DC" w:rsidP="003E27DC">
      <w:pPr>
        <w:pStyle w:val="BodyText"/>
        <w:spacing w:after="0" w:line="360" w:lineRule="auto"/>
        <w:jc w:val="both"/>
      </w:pPr>
    </w:p>
    <w:p w14:paraId="339B8FD1" w14:textId="4243ED62" w:rsidR="00B00864" w:rsidRDefault="008375A8">
      <w:pPr>
        <w:pStyle w:val="BodyText"/>
        <w:spacing w:after="0" w:line="360" w:lineRule="auto"/>
        <w:rPr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91C6AF4" wp14:editId="0AEEAF59">
            <wp:simplePos x="0" y="0"/>
            <wp:positionH relativeFrom="column">
              <wp:posOffset>4595069</wp:posOffset>
            </wp:positionH>
            <wp:positionV relativeFrom="paragraph">
              <wp:posOffset>-423818</wp:posOffset>
            </wp:positionV>
            <wp:extent cx="3405600" cy="4532400"/>
            <wp:effectExtent l="0" t="0" r="0" b="1905"/>
            <wp:wrapThrough wrapText="bothSides">
              <wp:wrapPolygon edited="0">
                <wp:start x="0" y="0"/>
                <wp:lineTo x="0" y="21549"/>
                <wp:lineTo x="21507" y="21549"/>
                <wp:lineTo x="21507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SM Fig 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5600" cy="45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C2FBE" w14:textId="3F65DFB5" w:rsidR="00B00864" w:rsidRPr="003E27DC" w:rsidRDefault="00B00864">
      <w:pPr>
        <w:pStyle w:val="BodyText"/>
        <w:spacing w:after="0" w:line="360" w:lineRule="auto"/>
        <w:rPr>
          <w:sz w:val="24"/>
          <w:szCs w:val="24"/>
        </w:rPr>
      </w:pPr>
    </w:p>
    <w:p w14:paraId="64DCD4A4" w14:textId="5335E715" w:rsidR="00B00864" w:rsidRDefault="00B00864">
      <w:pPr>
        <w:spacing w:after="0" w:line="360" w:lineRule="auto"/>
      </w:pPr>
    </w:p>
    <w:p w14:paraId="55EEF183" w14:textId="4AB4031C" w:rsidR="008375A8" w:rsidRDefault="008375A8">
      <w:pPr>
        <w:spacing w:after="0" w:line="360" w:lineRule="auto"/>
      </w:pPr>
    </w:p>
    <w:p w14:paraId="76E81ED0" w14:textId="41F30301" w:rsidR="008375A8" w:rsidRDefault="008375A8">
      <w:pPr>
        <w:spacing w:after="0" w:line="360" w:lineRule="auto"/>
      </w:pPr>
    </w:p>
    <w:p w14:paraId="22C71781" w14:textId="4ADD770B" w:rsidR="008375A8" w:rsidRDefault="008375A8">
      <w:pPr>
        <w:spacing w:after="0" w:line="360" w:lineRule="auto"/>
      </w:pPr>
    </w:p>
    <w:p w14:paraId="2D2CD044" w14:textId="2B3E906E" w:rsidR="008375A8" w:rsidRDefault="008375A8">
      <w:pPr>
        <w:spacing w:after="0" w:line="360" w:lineRule="auto"/>
      </w:pPr>
    </w:p>
    <w:p w14:paraId="1A3789A1" w14:textId="5FA7ABC5" w:rsidR="008375A8" w:rsidRDefault="008375A8">
      <w:pPr>
        <w:spacing w:after="0" w:line="360" w:lineRule="auto"/>
      </w:pPr>
    </w:p>
    <w:p w14:paraId="3E758CF1" w14:textId="3EACD45D" w:rsidR="008375A8" w:rsidRDefault="008375A8">
      <w:pPr>
        <w:spacing w:after="0" w:line="360" w:lineRule="auto"/>
      </w:pPr>
    </w:p>
    <w:p w14:paraId="075BD353" w14:textId="68C6BAF7" w:rsidR="008375A8" w:rsidRDefault="008375A8">
      <w:pPr>
        <w:spacing w:after="0" w:line="360" w:lineRule="auto"/>
      </w:pPr>
    </w:p>
    <w:p w14:paraId="2AFF8F31" w14:textId="29250F23" w:rsidR="008375A8" w:rsidRDefault="008375A8">
      <w:pPr>
        <w:spacing w:after="0" w:line="360" w:lineRule="auto"/>
      </w:pPr>
    </w:p>
    <w:p w14:paraId="0DC27E5F" w14:textId="7976AF04" w:rsidR="008375A8" w:rsidRDefault="008375A8">
      <w:pPr>
        <w:spacing w:after="0" w:line="360" w:lineRule="auto"/>
      </w:pPr>
    </w:p>
    <w:p w14:paraId="5925289C" w14:textId="0193C1C4" w:rsidR="008375A8" w:rsidRDefault="008375A8">
      <w:pPr>
        <w:spacing w:after="0" w:line="360" w:lineRule="auto"/>
      </w:pPr>
    </w:p>
    <w:p w14:paraId="1C7D2E8F" w14:textId="096FD9D4" w:rsidR="008375A8" w:rsidRDefault="008375A8">
      <w:pPr>
        <w:spacing w:after="0" w:line="360" w:lineRule="auto"/>
      </w:pPr>
    </w:p>
    <w:p w14:paraId="230449A2" w14:textId="7689A31A" w:rsidR="008375A8" w:rsidRDefault="008375A8">
      <w:pPr>
        <w:spacing w:after="0" w:line="360" w:lineRule="auto"/>
      </w:pPr>
    </w:p>
    <w:p w14:paraId="19431D70" w14:textId="3ECD0CA8" w:rsidR="008375A8" w:rsidRDefault="008375A8">
      <w:pPr>
        <w:spacing w:after="0" w:line="360" w:lineRule="auto"/>
      </w:pPr>
    </w:p>
    <w:p w14:paraId="5B6B60FF" w14:textId="4174F9EB" w:rsidR="008375A8" w:rsidRDefault="008375A8">
      <w:pPr>
        <w:spacing w:after="0" w:line="360" w:lineRule="auto"/>
      </w:pPr>
    </w:p>
    <w:p w14:paraId="3FA479B3" w14:textId="23DD8CE3" w:rsidR="008375A8" w:rsidRDefault="008375A8">
      <w:pPr>
        <w:spacing w:after="0" w:line="360" w:lineRule="auto"/>
      </w:pPr>
    </w:p>
    <w:p w14:paraId="0572B789" w14:textId="1CF7B8CC" w:rsidR="008375A8" w:rsidRDefault="008375A8">
      <w:pPr>
        <w:spacing w:after="0" w:line="360" w:lineRule="auto"/>
      </w:pPr>
    </w:p>
    <w:p w14:paraId="4FB1735F" w14:textId="4D5B3653" w:rsidR="00F01288" w:rsidRDefault="008375A8" w:rsidP="00F01288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3</w:t>
      </w:r>
      <w:r>
        <w:rPr>
          <w:b/>
          <w:bCs/>
          <w:sz w:val="24"/>
          <w:szCs w:val="24"/>
          <w:lang w:val="en-US"/>
        </w:rPr>
        <w:t xml:space="preserve">:  </w:t>
      </w:r>
      <w:r w:rsidR="00F01288" w:rsidRPr="00E6765E">
        <w:rPr>
          <w:sz w:val="24"/>
          <w:szCs w:val="24"/>
          <w:lang w:val="en-US"/>
        </w:rPr>
        <w:t xml:space="preserve">Forest plot of </w:t>
      </w:r>
      <w:r w:rsidR="00F01288">
        <w:rPr>
          <w:sz w:val="24"/>
          <w:szCs w:val="24"/>
          <w:lang w:val="en-US"/>
        </w:rPr>
        <w:t>mortality</w:t>
      </w:r>
      <w:r w:rsidR="00F01288" w:rsidRPr="00E6765E">
        <w:rPr>
          <w:sz w:val="24"/>
          <w:szCs w:val="24"/>
          <w:lang w:val="en-US"/>
        </w:rPr>
        <w:t xml:space="preserve"> in </w:t>
      </w:r>
      <w:r w:rsidR="00F01288">
        <w:rPr>
          <w:sz w:val="24"/>
          <w:szCs w:val="24"/>
          <w:lang w:val="en-US"/>
        </w:rPr>
        <w:t xml:space="preserve">randomized clinical </w:t>
      </w:r>
      <w:r w:rsidR="00F01288" w:rsidRPr="00E6765E">
        <w:rPr>
          <w:sz w:val="24"/>
          <w:szCs w:val="24"/>
          <w:lang w:val="en-US"/>
        </w:rPr>
        <w:t>trials</w:t>
      </w:r>
      <w:r w:rsidR="00F01288">
        <w:rPr>
          <w:sz w:val="24"/>
          <w:szCs w:val="24"/>
          <w:lang w:val="en-US"/>
        </w:rPr>
        <w:t xml:space="preserve"> (RCTs) or non-RCTs: invasive vs. non-invasive TTM methods.</w:t>
      </w:r>
      <w:r w:rsidR="00F01288"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3573A158" w14:textId="56A9EB37" w:rsidR="008375A8" w:rsidRDefault="008375A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43ED4A6" w14:textId="1EF33EF5" w:rsidR="008375A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inline distT="0" distB="0" distL="0" distR="0" wp14:anchorId="74C2FCEA" wp14:editId="027A43FC">
            <wp:extent cx="6146157" cy="4662652"/>
            <wp:effectExtent l="0" t="0" r="127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SM Fig 3.jpg"/>
                    <pic:cNvPicPr/>
                  </pic:nvPicPr>
                  <pic:blipFill rotWithShape="1">
                    <a:blip r:embed="rId17"/>
                    <a:srcRect t="21763" b="21269"/>
                    <a:stretch/>
                  </pic:blipFill>
                  <pic:spPr bwMode="auto">
                    <a:xfrm>
                      <a:off x="0" y="0"/>
                      <a:ext cx="6154502" cy="4668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55CE8" w14:textId="278ED30B" w:rsidR="008375A8" w:rsidRDefault="008375A8">
      <w:pPr>
        <w:suppressAutoHyphens w:val="0"/>
        <w:spacing w:after="0" w:line="240" w:lineRule="auto"/>
        <w:rPr>
          <w:rFonts w:eastAsia="Calibri"/>
          <w:color w:val="00000A"/>
          <w:sz w:val="24"/>
          <w:szCs w:val="24"/>
          <w:lang w:val="en-US"/>
        </w:rPr>
      </w:pPr>
    </w:p>
    <w:p w14:paraId="1CBBE40F" w14:textId="19C77DE5" w:rsidR="008375A8" w:rsidRDefault="008375A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4</w:t>
      </w:r>
      <w:r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  <w:lang w:val="en-US"/>
        </w:rPr>
        <w:t xml:space="preserve">:  </w:t>
      </w:r>
      <w:r w:rsidRPr="005F4BC8">
        <w:rPr>
          <w:sz w:val="24"/>
          <w:szCs w:val="24"/>
          <w:lang w:val="en-US"/>
        </w:rPr>
        <w:t xml:space="preserve">Funnel plot for </w:t>
      </w:r>
      <w:r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>
        <w:rPr>
          <w:rFonts w:eastAsia="Calibri"/>
          <w:color w:val="00000A"/>
          <w:sz w:val="24"/>
          <w:szCs w:val="24"/>
          <w:lang w:val="en-US"/>
        </w:rPr>
        <w:t xml:space="preserve">comparing the impact of </w:t>
      </w:r>
      <w:r w:rsidR="00F01288">
        <w:rPr>
          <w:rFonts w:eastAsia="Calibri"/>
          <w:color w:val="00000A"/>
          <w:sz w:val="24"/>
          <w:szCs w:val="24"/>
          <w:lang w:val="en-US"/>
        </w:rPr>
        <w:t xml:space="preserve">invasive </w:t>
      </w:r>
      <w:r>
        <w:rPr>
          <w:rFonts w:eastAsia="Calibri"/>
          <w:color w:val="00000A"/>
          <w:sz w:val="24"/>
          <w:szCs w:val="24"/>
          <w:lang w:val="en-US"/>
        </w:rPr>
        <w:t xml:space="preserve">and </w:t>
      </w:r>
      <w:r w:rsidR="00F01288">
        <w:rPr>
          <w:rFonts w:eastAsia="Calibri"/>
          <w:color w:val="00000A"/>
          <w:sz w:val="24"/>
          <w:szCs w:val="24"/>
          <w:lang w:val="en-US"/>
        </w:rPr>
        <w:t>non-invasive TTM</w:t>
      </w:r>
      <w:r>
        <w:rPr>
          <w:rFonts w:eastAsia="Calibri"/>
          <w:color w:val="00000A"/>
          <w:sz w:val="24"/>
          <w:szCs w:val="24"/>
          <w:lang w:val="en-US"/>
        </w:rPr>
        <w:t xml:space="preserve"> methods on poor neurological outcome (left) and mortality (right). </w:t>
      </w:r>
      <w:r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>
        <w:rPr>
          <w:rFonts w:eastAsia="Calibri"/>
          <w:color w:val="00000A"/>
          <w:sz w:val="24"/>
          <w:szCs w:val="24"/>
          <w:lang w:val="en-US"/>
        </w:rPr>
        <w:t>.</w:t>
      </w:r>
    </w:p>
    <w:p w14:paraId="71AA0354" w14:textId="2E3A8C68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52CE300" wp14:editId="747CB00A">
            <wp:simplePos x="0" y="0"/>
            <wp:positionH relativeFrom="column">
              <wp:posOffset>72390</wp:posOffset>
            </wp:positionH>
            <wp:positionV relativeFrom="paragraph">
              <wp:posOffset>320040</wp:posOffset>
            </wp:positionV>
            <wp:extent cx="4056380" cy="3459480"/>
            <wp:effectExtent l="0" t="0" r="0" b="0"/>
            <wp:wrapThrough wrapText="bothSides">
              <wp:wrapPolygon edited="0">
                <wp:start x="0" y="0"/>
                <wp:lineTo x="0" y="21489"/>
                <wp:lineTo x="21505" y="21489"/>
                <wp:lineTo x="21505" y="0"/>
                <wp:lineTo x="0" y="0"/>
              </wp:wrapPolygon>
            </wp:wrapThrough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SM Fig 4.jpg"/>
                    <pic:cNvPicPr/>
                  </pic:nvPicPr>
                  <pic:blipFill rotWithShape="1">
                    <a:blip r:embed="rId18"/>
                    <a:srcRect t="18357" b="19754"/>
                    <a:stretch/>
                  </pic:blipFill>
                  <pic:spPr bwMode="auto">
                    <a:xfrm>
                      <a:off x="0" y="0"/>
                      <a:ext cx="4056380" cy="345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1B6B4658" wp14:editId="24E874C8">
            <wp:simplePos x="0" y="0"/>
            <wp:positionH relativeFrom="column">
              <wp:posOffset>4239260</wp:posOffset>
            </wp:positionH>
            <wp:positionV relativeFrom="paragraph">
              <wp:posOffset>114300</wp:posOffset>
            </wp:positionV>
            <wp:extent cx="4593590" cy="3495040"/>
            <wp:effectExtent l="0" t="0" r="3810" b="0"/>
            <wp:wrapThrough wrapText="bothSides">
              <wp:wrapPolygon edited="0">
                <wp:start x="0" y="0"/>
                <wp:lineTo x="0" y="21506"/>
                <wp:lineTo x="21558" y="21506"/>
                <wp:lineTo x="21558" y="0"/>
                <wp:lineTo x="0" y="0"/>
              </wp:wrapPolygon>
            </wp:wrapThrough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SM Fig 5.jpg"/>
                    <pic:cNvPicPr/>
                  </pic:nvPicPr>
                  <pic:blipFill rotWithShape="1">
                    <a:blip r:embed="rId19"/>
                    <a:srcRect t="18736" b="24114"/>
                    <a:stretch/>
                  </pic:blipFill>
                  <pic:spPr bwMode="auto">
                    <a:xfrm>
                      <a:off x="0" y="0"/>
                      <a:ext cx="4593590" cy="3495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2D3F7" w14:textId="645FEB35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ECF3661" w14:textId="7E66172D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2D9427CA" w14:textId="27C72F66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1F722CAE" w14:textId="7A28D3C4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0B510E20" w14:textId="3F97A848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929DD63" w14:textId="3F9A3553" w:rsidR="00F01288" w:rsidRDefault="00F01288" w:rsidP="00F01288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6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mortality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temperature feedback device (TFD) vs. non-TFD TTM methods.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12D8C0DB" w14:textId="206B56DF" w:rsidR="00F01288" w:rsidRDefault="00F01288" w:rsidP="00F01288">
      <w:pPr>
        <w:spacing w:after="0" w:line="360" w:lineRule="auto"/>
        <w:rPr>
          <w:sz w:val="24"/>
          <w:szCs w:val="24"/>
          <w:lang w:val="en-US"/>
        </w:rPr>
      </w:pPr>
    </w:p>
    <w:p w14:paraId="50F05D29" w14:textId="6CCBE280" w:rsidR="00F01288" w:rsidRDefault="00F01288" w:rsidP="00F01288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67D683DD" wp14:editId="268238DB">
            <wp:extent cx="7021945" cy="4318072"/>
            <wp:effectExtent l="0" t="0" r="127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SM Fig 6.jpg"/>
                    <pic:cNvPicPr/>
                  </pic:nvPicPr>
                  <pic:blipFill rotWithShape="1">
                    <a:blip r:embed="rId20"/>
                    <a:srcRect t="27062" b="26761"/>
                    <a:stretch/>
                  </pic:blipFill>
                  <pic:spPr bwMode="auto">
                    <a:xfrm>
                      <a:off x="0" y="0"/>
                      <a:ext cx="7036114" cy="432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CFF98" w14:textId="4F3E4B8E" w:rsidR="00F01288" w:rsidRDefault="00F01288" w:rsidP="00F0128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7</w:t>
      </w:r>
      <w:r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8</w:t>
      </w:r>
      <w:r>
        <w:rPr>
          <w:b/>
          <w:bCs/>
          <w:sz w:val="24"/>
          <w:szCs w:val="24"/>
          <w:lang w:val="en-US"/>
        </w:rPr>
        <w:t xml:space="preserve">:  </w:t>
      </w:r>
      <w:r w:rsidRPr="005F4BC8">
        <w:rPr>
          <w:sz w:val="24"/>
          <w:szCs w:val="24"/>
          <w:lang w:val="en-US"/>
        </w:rPr>
        <w:t xml:space="preserve">Funnel plot for </w:t>
      </w:r>
      <w:r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>
        <w:rPr>
          <w:rFonts w:eastAsia="Calibri"/>
          <w:color w:val="00000A"/>
          <w:sz w:val="24"/>
          <w:szCs w:val="24"/>
          <w:lang w:val="en-US"/>
        </w:rPr>
        <w:t xml:space="preserve">comparing the impact of temperature feedback device (TFD) and non-TFD TTM methods on poor neurological outcome (left) and mortality (right). </w:t>
      </w:r>
      <w:r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>
        <w:rPr>
          <w:rFonts w:eastAsia="Calibri"/>
          <w:color w:val="00000A"/>
          <w:sz w:val="24"/>
          <w:szCs w:val="24"/>
          <w:lang w:val="en-US"/>
        </w:rPr>
        <w:t>.</w:t>
      </w:r>
    </w:p>
    <w:p w14:paraId="00D63C85" w14:textId="33F856F6" w:rsidR="00C9469D" w:rsidRDefault="00C9469D" w:rsidP="00F0128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04F083E0" wp14:editId="249B52EE">
            <wp:simplePos x="0" y="0"/>
            <wp:positionH relativeFrom="column">
              <wp:posOffset>4598035</wp:posOffset>
            </wp:positionH>
            <wp:positionV relativeFrom="paragraph">
              <wp:posOffset>203835</wp:posOffset>
            </wp:positionV>
            <wp:extent cx="4592955" cy="3437255"/>
            <wp:effectExtent l="0" t="0" r="4445" b="4445"/>
            <wp:wrapThrough wrapText="bothSides">
              <wp:wrapPolygon edited="0">
                <wp:start x="0" y="0"/>
                <wp:lineTo x="0" y="21548"/>
                <wp:lineTo x="21561" y="21548"/>
                <wp:lineTo x="21561" y="0"/>
                <wp:lineTo x="0" y="0"/>
              </wp:wrapPolygon>
            </wp:wrapThrough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SM Fig 8.jpg"/>
                    <pic:cNvPicPr/>
                  </pic:nvPicPr>
                  <pic:blipFill rotWithShape="1">
                    <a:blip r:embed="rId21"/>
                    <a:srcRect t="21195" b="22596"/>
                    <a:stretch/>
                  </pic:blipFill>
                  <pic:spPr bwMode="auto">
                    <a:xfrm>
                      <a:off x="0" y="0"/>
                      <a:ext cx="4592955" cy="343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52529" w14:textId="0EB0E971" w:rsidR="00C9469D" w:rsidRDefault="00C9469D" w:rsidP="00F0128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40EAA763" wp14:editId="701D4F06">
            <wp:simplePos x="0" y="0"/>
            <wp:positionH relativeFrom="column">
              <wp:posOffset>2540</wp:posOffset>
            </wp:positionH>
            <wp:positionV relativeFrom="paragraph">
              <wp:posOffset>80010</wp:posOffset>
            </wp:positionV>
            <wp:extent cx="4485640" cy="3378200"/>
            <wp:effectExtent l="0" t="0" r="0" b="0"/>
            <wp:wrapThrough wrapText="bothSides">
              <wp:wrapPolygon edited="0">
                <wp:start x="0" y="0"/>
                <wp:lineTo x="0" y="21519"/>
                <wp:lineTo x="21527" y="21519"/>
                <wp:lineTo x="21527" y="0"/>
                <wp:lineTo x="0" y="0"/>
              </wp:wrapPolygon>
            </wp:wrapThrough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SM Fig 7.jpg"/>
                    <pic:cNvPicPr/>
                  </pic:nvPicPr>
                  <pic:blipFill rotWithShape="1">
                    <a:blip r:embed="rId22"/>
                    <a:srcRect t="20627" b="22788"/>
                    <a:stretch/>
                  </pic:blipFill>
                  <pic:spPr bwMode="auto">
                    <a:xfrm>
                      <a:off x="0" y="0"/>
                      <a:ext cx="4485640" cy="337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D4A80" w14:textId="1D542B53" w:rsidR="00F01288" w:rsidRDefault="00F01288" w:rsidP="00F01288">
      <w:pPr>
        <w:spacing w:after="0" w:line="360" w:lineRule="auto"/>
        <w:rPr>
          <w:sz w:val="24"/>
          <w:szCs w:val="24"/>
          <w:lang w:val="en-US"/>
        </w:rPr>
      </w:pPr>
    </w:p>
    <w:p w14:paraId="381FB703" w14:textId="33BCB44C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695DA904" w14:textId="75C927B5" w:rsidR="00F01288" w:rsidRDefault="00F01288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105543F" w14:textId="54412A1F" w:rsidR="00C9469D" w:rsidRDefault="00C9469D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62F9C153" w14:textId="77777777" w:rsidR="00C9469D" w:rsidRDefault="00C9469D" w:rsidP="008375A8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EB699F6" w14:textId="34714796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9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poor neurological outcome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endovascular devices vs. air- or water-circulating blankets.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389461B7" w14:textId="2F756EDE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</w:p>
    <w:p w14:paraId="472AF5C4" w14:textId="224554D9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58D4D6E8" wp14:editId="2A159746">
            <wp:extent cx="7187879" cy="4184670"/>
            <wp:effectExtent l="0" t="0" r="635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SM Fig 9.jpg"/>
                    <pic:cNvPicPr/>
                  </pic:nvPicPr>
                  <pic:blipFill rotWithShape="1">
                    <a:blip r:embed="rId23"/>
                    <a:srcRect t="27819" b="28463"/>
                    <a:stretch/>
                  </pic:blipFill>
                  <pic:spPr bwMode="auto">
                    <a:xfrm>
                      <a:off x="0" y="0"/>
                      <a:ext cx="7199427" cy="4191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91C29" w14:textId="0CF5FDBC" w:rsidR="008375A8" w:rsidRDefault="008375A8">
      <w:pPr>
        <w:spacing w:after="0" w:line="360" w:lineRule="auto"/>
      </w:pPr>
    </w:p>
    <w:p w14:paraId="7BCBF3D5" w14:textId="7ADD0767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0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mortality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endovascular devices vs. air- or water-circulating blankets.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4DE7ADAA" w14:textId="4BFE3E94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</w:p>
    <w:p w14:paraId="73B39C36" w14:textId="0FDE99D9" w:rsidR="00C9469D" w:rsidRDefault="00C9469D" w:rsidP="00C9469D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5D350F09" wp14:editId="2DBED6E8">
            <wp:extent cx="7014259" cy="4667217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SM Fig 10.jpg"/>
                    <pic:cNvPicPr/>
                  </pic:nvPicPr>
                  <pic:blipFill rotWithShape="1">
                    <a:blip r:embed="rId24"/>
                    <a:srcRect t="24980" b="25053"/>
                    <a:stretch/>
                  </pic:blipFill>
                  <pic:spPr bwMode="auto">
                    <a:xfrm>
                      <a:off x="0" y="0"/>
                      <a:ext cx="7024274" cy="4673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02277" w14:textId="3958327F" w:rsidR="00BC29D0" w:rsidRDefault="00BC29D0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1</w:t>
      </w:r>
      <w:r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2</w:t>
      </w:r>
      <w:r>
        <w:rPr>
          <w:b/>
          <w:bCs/>
          <w:sz w:val="24"/>
          <w:szCs w:val="24"/>
          <w:lang w:val="en-US"/>
        </w:rPr>
        <w:t xml:space="preserve">:  </w:t>
      </w:r>
      <w:r w:rsidRPr="005F4BC8">
        <w:rPr>
          <w:sz w:val="24"/>
          <w:szCs w:val="24"/>
          <w:lang w:val="en-US"/>
        </w:rPr>
        <w:t xml:space="preserve">Funnel plot for </w:t>
      </w:r>
      <w:r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>
        <w:rPr>
          <w:rFonts w:eastAsia="Calibri"/>
          <w:color w:val="00000A"/>
          <w:sz w:val="24"/>
          <w:szCs w:val="24"/>
          <w:lang w:val="en-US"/>
        </w:rPr>
        <w:t xml:space="preserve">comparing the impact of </w:t>
      </w:r>
      <w:r>
        <w:rPr>
          <w:sz w:val="24"/>
          <w:szCs w:val="24"/>
          <w:lang w:val="en-US"/>
        </w:rPr>
        <w:t>endovascular devices vs. air- or water-circulating blankets</w:t>
      </w:r>
      <w:r>
        <w:rPr>
          <w:rFonts w:eastAsia="Calibri"/>
          <w:color w:val="00000A"/>
          <w:sz w:val="24"/>
          <w:szCs w:val="24"/>
          <w:lang w:val="en-US"/>
        </w:rPr>
        <w:t xml:space="preserve"> on poor neurological outcome (left) and mortality (right). </w:t>
      </w:r>
      <w:r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>
        <w:rPr>
          <w:rFonts w:eastAsia="Calibri"/>
          <w:color w:val="00000A"/>
          <w:sz w:val="24"/>
          <w:szCs w:val="24"/>
          <w:lang w:val="en-US"/>
        </w:rPr>
        <w:t>.</w:t>
      </w:r>
    </w:p>
    <w:p w14:paraId="2D4EB214" w14:textId="2EFCDDE2" w:rsidR="00BC29D0" w:rsidRDefault="00BC29D0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40EF5A81" w14:textId="2F05EBA0" w:rsidR="00BC29D0" w:rsidRDefault="00BC29D0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430BBE96" wp14:editId="74E3B2B5">
            <wp:simplePos x="0" y="0"/>
            <wp:positionH relativeFrom="column">
              <wp:posOffset>4355465</wp:posOffset>
            </wp:positionH>
            <wp:positionV relativeFrom="paragraph">
              <wp:posOffset>65260</wp:posOffset>
            </wp:positionV>
            <wp:extent cx="4593600" cy="3344400"/>
            <wp:effectExtent l="0" t="0" r="3810" b="0"/>
            <wp:wrapThrough wrapText="bothSides">
              <wp:wrapPolygon edited="0">
                <wp:start x="0" y="0"/>
                <wp:lineTo x="0" y="21493"/>
                <wp:lineTo x="21558" y="21493"/>
                <wp:lineTo x="21558" y="0"/>
                <wp:lineTo x="0" y="0"/>
              </wp:wrapPolygon>
            </wp:wrapThrough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SM Fig 12.jpg"/>
                    <pic:cNvPicPr/>
                  </pic:nvPicPr>
                  <pic:blipFill rotWithShape="1">
                    <a:blip r:embed="rId25"/>
                    <a:srcRect t="21006" b="24298"/>
                    <a:stretch/>
                  </pic:blipFill>
                  <pic:spPr bwMode="auto">
                    <a:xfrm>
                      <a:off x="0" y="0"/>
                      <a:ext cx="4593600" cy="334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2BB05282" wp14:editId="563E3673">
            <wp:simplePos x="0" y="0"/>
            <wp:positionH relativeFrom="column">
              <wp:posOffset>2540</wp:posOffset>
            </wp:positionH>
            <wp:positionV relativeFrom="paragraph">
              <wp:posOffset>230505</wp:posOffset>
            </wp:positionV>
            <wp:extent cx="4284980" cy="3216910"/>
            <wp:effectExtent l="0" t="0" r="0" b="0"/>
            <wp:wrapThrough wrapText="bothSides">
              <wp:wrapPolygon edited="0">
                <wp:start x="0" y="0"/>
                <wp:lineTo x="0" y="21489"/>
                <wp:lineTo x="21510" y="21489"/>
                <wp:lineTo x="21510" y="0"/>
                <wp:lineTo x="0" y="0"/>
              </wp:wrapPolygon>
            </wp:wrapThrough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SM Fig 11.jpg"/>
                    <pic:cNvPicPr/>
                  </pic:nvPicPr>
                  <pic:blipFill rotWithShape="1">
                    <a:blip r:embed="rId26"/>
                    <a:srcRect t="20249" b="23352"/>
                    <a:stretch/>
                  </pic:blipFill>
                  <pic:spPr bwMode="auto">
                    <a:xfrm>
                      <a:off x="0" y="0"/>
                      <a:ext cx="4284980" cy="3216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0DF37" w14:textId="2F60C8D9" w:rsidR="00BC29D0" w:rsidRDefault="00BC29D0" w:rsidP="00C9469D">
      <w:pPr>
        <w:spacing w:after="0" w:line="360" w:lineRule="auto"/>
        <w:rPr>
          <w:sz w:val="24"/>
          <w:szCs w:val="24"/>
          <w:lang w:val="en-US"/>
        </w:rPr>
      </w:pPr>
    </w:p>
    <w:p w14:paraId="5413CD58" w14:textId="16B97DB7" w:rsidR="00C9469D" w:rsidRDefault="00C9469D">
      <w:pPr>
        <w:spacing w:after="0" w:line="360" w:lineRule="auto"/>
      </w:pPr>
    </w:p>
    <w:p w14:paraId="651899AA" w14:textId="203E34C5" w:rsidR="00C9469D" w:rsidRDefault="00C9469D">
      <w:pPr>
        <w:spacing w:after="0" w:line="360" w:lineRule="auto"/>
      </w:pPr>
    </w:p>
    <w:p w14:paraId="0D7B401D" w14:textId="4C574425" w:rsidR="00BC29D0" w:rsidRDefault="00BC29D0">
      <w:pPr>
        <w:spacing w:after="0" w:line="360" w:lineRule="auto"/>
      </w:pPr>
      <w:bookmarkStart w:id="0" w:name="_GoBack"/>
      <w:bookmarkEnd w:id="0"/>
    </w:p>
    <w:p w14:paraId="4ADE0E57" w14:textId="43D903B6" w:rsidR="00BC29D0" w:rsidRDefault="00BC29D0">
      <w:pPr>
        <w:spacing w:after="0" w:line="360" w:lineRule="auto"/>
      </w:pPr>
    </w:p>
    <w:p w14:paraId="77702A5D" w14:textId="25163C68" w:rsidR="00BC29D0" w:rsidRDefault="00BC29D0">
      <w:pPr>
        <w:spacing w:after="0" w:line="360" w:lineRule="auto"/>
      </w:pPr>
    </w:p>
    <w:p w14:paraId="6B9D7A04" w14:textId="1E627504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3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poor neurological outcome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endovascular devices vs. air- or water-circulating blankets with temperature feedback device (TFD).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0048E914" w14:textId="08225E0A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</w:p>
    <w:p w14:paraId="297E5AD6" w14:textId="24313E8A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103907AE" wp14:editId="5AA055FE">
            <wp:extent cx="8125428" cy="4525775"/>
            <wp:effectExtent l="0" t="0" r="317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SM Fig 13.jpg"/>
                    <pic:cNvPicPr/>
                  </pic:nvPicPr>
                  <pic:blipFill rotWithShape="1">
                    <a:blip r:embed="rId27"/>
                    <a:srcRect t="28575" b="29599"/>
                    <a:stretch/>
                  </pic:blipFill>
                  <pic:spPr bwMode="auto">
                    <a:xfrm>
                      <a:off x="0" y="0"/>
                      <a:ext cx="8139706" cy="4533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816C1" w14:textId="540FD035" w:rsidR="00BC29D0" w:rsidRDefault="00BC29D0">
      <w:pPr>
        <w:spacing w:after="0" w:line="360" w:lineRule="auto"/>
      </w:pPr>
    </w:p>
    <w:p w14:paraId="76572907" w14:textId="4396801C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4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mortality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endovascular devices vs. air- or water-circulating blankets with temperature feedback device (TFD).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50E9927F" w14:textId="2BA5F7AB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</w:p>
    <w:p w14:paraId="191B1352" w14:textId="0A55071E" w:rsidR="00BC29D0" w:rsidRDefault="00BC29D0" w:rsidP="00BC29D0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7AFEC95C" wp14:editId="64580070">
            <wp:extent cx="7616142" cy="4472533"/>
            <wp:effectExtent l="0" t="0" r="444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SM Fig 14.jpg"/>
                    <pic:cNvPicPr/>
                  </pic:nvPicPr>
                  <pic:blipFill rotWithShape="1">
                    <a:blip r:embed="rId28"/>
                    <a:srcRect t="27629" b="28273"/>
                    <a:stretch/>
                  </pic:blipFill>
                  <pic:spPr bwMode="auto">
                    <a:xfrm>
                      <a:off x="0" y="0"/>
                      <a:ext cx="7624276" cy="4477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B36069" w14:textId="1F15C419" w:rsidR="00BC29D0" w:rsidRDefault="00BC29D0">
      <w:pPr>
        <w:spacing w:after="0" w:line="360" w:lineRule="auto"/>
      </w:pPr>
    </w:p>
    <w:p w14:paraId="67643B13" w14:textId="078F1D4B" w:rsidR="00BC29D0" w:rsidRDefault="00B72B82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1C4613EB" wp14:editId="61935C73">
            <wp:simplePos x="0" y="0"/>
            <wp:positionH relativeFrom="column">
              <wp:posOffset>4227195</wp:posOffset>
            </wp:positionH>
            <wp:positionV relativeFrom="paragraph">
              <wp:posOffset>1363345</wp:posOffset>
            </wp:positionV>
            <wp:extent cx="4592955" cy="3286760"/>
            <wp:effectExtent l="0" t="0" r="4445" b="2540"/>
            <wp:wrapThrough wrapText="bothSides">
              <wp:wrapPolygon edited="0">
                <wp:start x="0" y="0"/>
                <wp:lineTo x="0" y="21533"/>
                <wp:lineTo x="21561" y="21533"/>
                <wp:lineTo x="21561" y="0"/>
                <wp:lineTo x="0" y="0"/>
              </wp:wrapPolygon>
            </wp:wrapThrough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SM Fig 16.jpg"/>
                    <pic:cNvPicPr/>
                  </pic:nvPicPr>
                  <pic:blipFill rotWithShape="1">
                    <a:blip r:embed="rId29"/>
                    <a:srcRect t="22332" b="23924"/>
                    <a:stretch/>
                  </pic:blipFill>
                  <pic:spPr bwMode="auto">
                    <a:xfrm>
                      <a:off x="0" y="0"/>
                      <a:ext cx="4592955" cy="328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9D0">
        <w:rPr>
          <w:b/>
          <w:bCs/>
          <w:sz w:val="24"/>
          <w:szCs w:val="24"/>
          <w:lang w:val="en-US"/>
        </w:rPr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BC29D0"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5</w:t>
      </w:r>
      <w:r w:rsidR="00BC29D0"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 w:rsidR="00BC29D0"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6</w:t>
      </w:r>
      <w:r w:rsidR="00BC29D0">
        <w:rPr>
          <w:b/>
          <w:bCs/>
          <w:sz w:val="24"/>
          <w:szCs w:val="24"/>
          <w:lang w:val="en-US"/>
        </w:rPr>
        <w:t xml:space="preserve">:  </w:t>
      </w:r>
      <w:r w:rsidR="00BC29D0" w:rsidRPr="005F4BC8">
        <w:rPr>
          <w:sz w:val="24"/>
          <w:szCs w:val="24"/>
          <w:lang w:val="en-US"/>
        </w:rPr>
        <w:t xml:space="preserve">Funnel plot for </w:t>
      </w:r>
      <w:r w:rsidR="00BC29D0"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 w:rsidR="00BC29D0">
        <w:rPr>
          <w:rFonts w:eastAsia="Calibri"/>
          <w:color w:val="00000A"/>
          <w:sz w:val="24"/>
          <w:szCs w:val="24"/>
          <w:lang w:val="en-US"/>
        </w:rPr>
        <w:t xml:space="preserve">comparing the impact of </w:t>
      </w:r>
      <w:r w:rsidR="00BC29D0">
        <w:rPr>
          <w:sz w:val="24"/>
          <w:szCs w:val="24"/>
          <w:lang w:val="en-US"/>
        </w:rPr>
        <w:t>endovascular devices vs. air- or water-circulating blankets</w:t>
      </w:r>
      <w:r w:rsidR="00BC29D0">
        <w:rPr>
          <w:rFonts w:eastAsia="Calibri"/>
          <w:color w:val="00000A"/>
          <w:sz w:val="24"/>
          <w:szCs w:val="24"/>
          <w:lang w:val="en-US"/>
        </w:rPr>
        <w:t xml:space="preserve"> with temperature feedback device (TFD) on poor neurological outcome (left) and mortality (right). </w:t>
      </w:r>
      <w:r w:rsidR="00BC29D0"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 w:rsidR="00BC29D0">
        <w:rPr>
          <w:rFonts w:eastAsia="Calibri"/>
          <w:color w:val="00000A"/>
          <w:sz w:val="24"/>
          <w:szCs w:val="24"/>
          <w:lang w:val="en-US"/>
        </w:rPr>
        <w:t>.</w:t>
      </w:r>
    </w:p>
    <w:p w14:paraId="381F1CF2" w14:textId="55271B4B" w:rsidR="00BC29D0" w:rsidRDefault="00B72B82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  <w:r>
        <w:rPr>
          <w:rFonts w:eastAsia="Calibri"/>
          <w:noProof/>
          <w:color w:val="00000A"/>
          <w:sz w:val="24"/>
          <w:szCs w:val="24"/>
          <w:lang w:val="en-US" w:eastAsia="en-US"/>
        </w:rPr>
        <w:drawing>
          <wp:anchor distT="0" distB="0" distL="114300" distR="114300" simplePos="0" relativeHeight="251666432" behindDoc="0" locked="0" layoutInCell="1" allowOverlap="1" wp14:anchorId="188FFAAC" wp14:editId="7BD0F58D">
            <wp:simplePos x="0" y="0"/>
            <wp:positionH relativeFrom="column">
              <wp:posOffset>2540</wp:posOffset>
            </wp:positionH>
            <wp:positionV relativeFrom="paragraph">
              <wp:posOffset>484722</wp:posOffset>
            </wp:positionV>
            <wp:extent cx="4224655" cy="3118485"/>
            <wp:effectExtent l="0" t="0" r="4445" b="5715"/>
            <wp:wrapThrough wrapText="bothSides">
              <wp:wrapPolygon edited="0">
                <wp:start x="0" y="0"/>
                <wp:lineTo x="0" y="21552"/>
                <wp:lineTo x="21558" y="21552"/>
                <wp:lineTo x="21558" y="0"/>
                <wp:lineTo x="0" y="0"/>
              </wp:wrapPolygon>
            </wp:wrapThrough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SM Fig 15.jpg"/>
                    <pic:cNvPicPr/>
                  </pic:nvPicPr>
                  <pic:blipFill rotWithShape="1">
                    <a:blip r:embed="rId30"/>
                    <a:srcRect t="21195" b="23353"/>
                    <a:stretch/>
                  </pic:blipFill>
                  <pic:spPr bwMode="auto">
                    <a:xfrm>
                      <a:off x="0" y="0"/>
                      <a:ext cx="4224655" cy="311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3FE55" w14:textId="14E09DD8" w:rsidR="00BC29D0" w:rsidRDefault="00BC29D0" w:rsidP="00BC29D0">
      <w:pPr>
        <w:spacing w:after="0" w:line="360" w:lineRule="auto"/>
        <w:jc w:val="both"/>
        <w:rPr>
          <w:rFonts w:eastAsia="Calibri"/>
          <w:color w:val="00000A"/>
          <w:sz w:val="24"/>
          <w:szCs w:val="24"/>
          <w:lang w:val="en-US"/>
        </w:rPr>
      </w:pPr>
    </w:p>
    <w:p w14:paraId="7BC32E8B" w14:textId="77777777" w:rsidR="00B72B82" w:rsidRDefault="00B72B82">
      <w:pPr>
        <w:spacing w:after="0" w:line="360" w:lineRule="auto"/>
      </w:pPr>
    </w:p>
    <w:p w14:paraId="2110ACC7" w14:textId="584EE748" w:rsidR="00BC29D0" w:rsidRDefault="00BC29D0">
      <w:pPr>
        <w:spacing w:after="0" w:line="360" w:lineRule="auto"/>
      </w:pPr>
    </w:p>
    <w:p w14:paraId="660BA998" w14:textId="3364A5FB" w:rsidR="00B72B82" w:rsidRDefault="00B72B82">
      <w:pPr>
        <w:spacing w:after="0" w:line="360" w:lineRule="auto"/>
      </w:pPr>
    </w:p>
    <w:p w14:paraId="37406507" w14:textId="3C708506" w:rsidR="00B72B82" w:rsidRDefault="00B72B82">
      <w:pPr>
        <w:spacing w:after="0" w:line="360" w:lineRule="auto"/>
      </w:pPr>
    </w:p>
    <w:p w14:paraId="43AC1BF5" w14:textId="3CB96B9B" w:rsidR="00B72B82" w:rsidRDefault="00B72B82">
      <w:pPr>
        <w:spacing w:after="0" w:line="360" w:lineRule="auto"/>
      </w:pPr>
    </w:p>
    <w:p w14:paraId="45001B8D" w14:textId="3DB143D1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1</w:t>
      </w:r>
      <w:r w:rsidR="007F47DC">
        <w:rPr>
          <w:b/>
          <w:bCs/>
          <w:sz w:val="24"/>
          <w:szCs w:val="24"/>
          <w:lang w:val="en-US"/>
        </w:rPr>
        <w:t>7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poor neurological outcome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blankets vs. other surface TTM methods.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4BEC17D2" w14:textId="3B5AA44A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</w:p>
    <w:p w14:paraId="1F5D6BEC" w14:textId="0F3A6D52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4F80A819" wp14:editId="08FA8B74">
            <wp:extent cx="8473583" cy="3993265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ESM Fig 17.jpg"/>
                    <pic:cNvPicPr/>
                  </pic:nvPicPr>
                  <pic:blipFill rotWithShape="1">
                    <a:blip r:embed="rId31"/>
                    <a:srcRect t="32360" b="32251"/>
                    <a:stretch/>
                  </pic:blipFill>
                  <pic:spPr bwMode="auto">
                    <a:xfrm>
                      <a:off x="0" y="0"/>
                      <a:ext cx="8485586" cy="3998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DC3B2" w14:textId="77777777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</w:p>
    <w:p w14:paraId="3061FED6" w14:textId="241C3EE1" w:rsidR="00B72B82" w:rsidRDefault="00B72B82">
      <w:pPr>
        <w:spacing w:after="0" w:line="360" w:lineRule="auto"/>
      </w:pPr>
    </w:p>
    <w:p w14:paraId="6AA4F46F" w14:textId="55423717" w:rsidR="00730DD5" w:rsidRDefault="00730DD5">
      <w:pPr>
        <w:spacing w:after="0" w:line="360" w:lineRule="auto"/>
      </w:pPr>
    </w:p>
    <w:p w14:paraId="39FF6265" w14:textId="52622037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18</w:t>
      </w:r>
      <w:r>
        <w:rPr>
          <w:b/>
          <w:bCs/>
          <w:sz w:val="24"/>
          <w:szCs w:val="24"/>
          <w:lang w:val="en-US"/>
        </w:rPr>
        <w:t xml:space="preserve">:  </w:t>
      </w:r>
      <w:r w:rsidRPr="00E6765E">
        <w:rPr>
          <w:sz w:val="24"/>
          <w:szCs w:val="24"/>
          <w:lang w:val="en-US"/>
        </w:rPr>
        <w:t xml:space="preserve">Forest plot of </w:t>
      </w:r>
      <w:r>
        <w:rPr>
          <w:sz w:val="24"/>
          <w:szCs w:val="24"/>
          <w:lang w:val="en-US"/>
        </w:rPr>
        <w:t>mortality</w:t>
      </w:r>
      <w:r w:rsidRPr="00E6765E">
        <w:rPr>
          <w:sz w:val="24"/>
          <w:szCs w:val="24"/>
          <w:lang w:val="en-US"/>
        </w:rPr>
        <w:t xml:space="preserve"> in </w:t>
      </w:r>
      <w:r>
        <w:rPr>
          <w:sz w:val="24"/>
          <w:szCs w:val="24"/>
          <w:lang w:val="en-US"/>
        </w:rPr>
        <w:t xml:space="preserve">randomized clinical </w:t>
      </w:r>
      <w:r w:rsidRPr="00E6765E">
        <w:rPr>
          <w:sz w:val="24"/>
          <w:szCs w:val="24"/>
          <w:lang w:val="en-US"/>
        </w:rPr>
        <w:t>trials</w:t>
      </w:r>
      <w:r>
        <w:rPr>
          <w:sz w:val="24"/>
          <w:szCs w:val="24"/>
          <w:lang w:val="en-US"/>
        </w:rPr>
        <w:t xml:space="preserve"> (RCTs) or non-RCTs: blankets vs. other surface TTM methods.</w:t>
      </w:r>
      <w:r w:rsidRPr="00E6765E">
        <w:rPr>
          <w:sz w:val="24"/>
          <w:szCs w:val="24"/>
          <w:lang w:val="en-US"/>
        </w:rPr>
        <w:t xml:space="preserve"> Size of squares for risk ratio reflects weight of trial in pooled analysis. Horizontal bars represent 95% confidence intervals.</w:t>
      </w:r>
    </w:p>
    <w:p w14:paraId="7236F38B" w14:textId="412A0AEA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</w:p>
    <w:p w14:paraId="04F190BF" w14:textId="45ACDA91" w:rsidR="00730DD5" w:rsidRDefault="00730DD5" w:rsidP="00730DD5">
      <w:pPr>
        <w:spacing w:after="0" w:line="360" w:lineRule="auto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 wp14:anchorId="1349CE63" wp14:editId="53B4F611">
            <wp:extent cx="8262483" cy="4143737"/>
            <wp:effectExtent l="0" t="0" r="571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ESM Fig 18.jpg"/>
                    <pic:cNvPicPr/>
                  </pic:nvPicPr>
                  <pic:blipFill rotWithShape="1">
                    <a:blip r:embed="rId32"/>
                    <a:srcRect t="31414" b="30926"/>
                    <a:stretch/>
                  </pic:blipFill>
                  <pic:spPr bwMode="auto">
                    <a:xfrm>
                      <a:off x="0" y="0"/>
                      <a:ext cx="8276972" cy="4151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8555B" w14:textId="77777777" w:rsidR="00730DD5" w:rsidRDefault="00730DD5">
      <w:pPr>
        <w:spacing w:after="0" w:line="360" w:lineRule="auto"/>
      </w:pPr>
    </w:p>
    <w:p w14:paraId="7D820AA6" w14:textId="6050D95E" w:rsidR="00B72B82" w:rsidRDefault="00B72B82">
      <w:pPr>
        <w:spacing w:after="0" w:line="360" w:lineRule="auto"/>
      </w:pPr>
    </w:p>
    <w:p w14:paraId="18AFDA45" w14:textId="2D554ADB" w:rsidR="00730DD5" w:rsidRDefault="00730DD5">
      <w:pPr>
        <w:spacing w:after="0" w:line="360" w:lineRule="auto"/>
      </w:pPr>
    </w:p>
    <w:p w14:paraId="3C257978" w14:textId="5E241CD4" w:rsidR="00730DD5" w:rsidRDefault="00730DD5">
      <w:pPr>
        <w:spacing w:after="0" w:line="360" w:lineRule="auto"/>
        <w:rPr>
          <w:rFonts w:eastAsia="Calibri"/>
          <w:color w:val="00000A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Figure </w:t>
      </w:r>
      <w:r w:rsidR="00251774">
        <w:rPr>
          <w:b/>
          <w:bCs/>
          <w:sz w:val="24"/>
          <w:szCs w:val="24"/>
          <w:lang w:val="en-US"/>
        </w:rPr>
        <w:t>S</w:t>
      </w:r>
      <w:r w:rsidR="007F47DC">
        <w:rPr>
          <w:b/>
          <w:bCs/>
          <w:sz w:val="24"/>
          <w:szCs w:val="24"/>
          <w:lang w:val="en-US"/>
        </w:rPr>
        <w:t>19</w:t>
      </w:r>
      <w:r>
        <w:rPr>
          <w:b/>
          <w:bCs/>
          <w:sz w:val="24"/>
          <w:szCs w:val="24"/>
          <w:lang w:val="en-US"/>
        </w:rPr>
        <w:t xml:space="preserve"> and </w:t>
      </w:r>
      <w:r w:rsidR="00251774">
        <w:rPr>
          <w:b/>
          <w:bCs/>
          <w:sz w:val="24"/>
          <w:szCs w:val="24"/>
          <w:lang w:val="en-US"/>
        </w:rPr>
        <w:t>S</w:t>
      </w:r>
      <w:r>
        <w:rPr>
          <w:b/>
          <w:bCs/>
          <w:sz w:val="24"/>
          <w:szCs w:val="24"/>
          <w:lang w:val="en-US"/>
        </w:rPr>
        <w:t>2</w:t>
      </w:r>
      <w:r w:rsidR="007F47DC">
        <w:rPr>
          <w:b/>
          <w:bCs/>
          <w:sz w:val="24"/>
          <w:szCs w:val="24"/>
          <w:lang w:val="en-US"/>
        </w:rPr>
        <w:t>0</w:t>
      </w:r>
      <w:r>
        <w:rPr>
          <w:b/>
          <w:bCs/>
          <w:sz w:val="24"/>
          <w:szCs w:val="24"/>
          <w:lang w:val="en-US"/>
        </w:rPr>
        <w:t xml:space="preserve">:  </w:t>
      </w:r>
      <w:r w:rsidRPr="005F4BC8">
        <w:rPr>
          <w:sz w:val="24"/>
          <w:szCs w:val="24"/>
          <w:lang w:val="en-US"/>
        </w:rPr>
        <w:t xml:space="preserve">Funnel plot for </w:t>
      </w:r>
      <w:r w:rsidRPr="005F4BC8">
        <w:rPr>
          <w:rFonts w:eastAsia="Calibri"/>
          <w:color w:val="00000A"/>
          <w:sz w:val="24"/>
          <w:szCs w:val="24"/>
          <w:lang w:val="en-US"/>
        </w:rPr>
        <w:t xml:space="preserve">studies </w:t>
      </w:r>
      <w:r>
        <w:rPr>
          <w:rFonts w:eastAsia="Calibri"/>
          <w:color w:val="00000A"/>
          <w:sz w:val="24"/>
          <w:szCs w:val="24"/>
          <w:lang w:val="en-US"/>
        </w:rPr>
        <w:t xml:space="preserve">comparing the impact of </w:t>
      </w:r>
      <w:r>
        <w:rPr>
          <w:sz w:val="24"/>
          <w:szCs w:val="24"/>
          <w:lang w:val="en-US"/>
        </w:rPr>
        <w:t>blankets</w:t>
      </w:r>
      <w:r>
        <w:rPr>
          <w:rFonts w:eastAsia="Calibri"/>
          <w:color w:val="00000A"/>
          <w:sz w:val="24"/>
          <w:szCs w:val="24"/>
          <w:lang w:val="en-US"/>
        </w:rPr>
        <w:t xml:space="preserve"> vs. other surface TTM methods on poor neurological outcome (left) and mortality (right). </w:t>
      </w:r>
      <w:r w:rsidRPr="008375A8">
        <w:rPr>
          <w:rFonts w:eastAsia="Calibri"/>
          <w:color w:val="00000A"/>
          <w:sz w:val="24"/>
          <w:szCs w:val="24"/>
          <w:lang w:val="en-US"/>
        </w:rPr>
        <w:t>The outer dashed lines indicate the triangular region within which 95% of studies are expected to lie in the absence of biases and heterogeneity. The solid vertical line corresponds to no intervention effect</w:t>
      </w:r>
      <w:r>
        <w:rPr>
          <w:rFonts w:eastAsia="Calibri"/>
          <w:color w:val="00000A"/>
          <w:sz w:val="24"/>
          <w:szCs w:val="24"/>
          <w:lang w:val="en-US"/>
        </w:rPr>
        <w:t>.</w:t>
      </w:r>
    </w:p>
    <w:p w14:paraId="1FBDDB66" w14:textId="72EF7EEB" w:rsidR="00730DD5" w:rsidRDefault="00730DD5">
      <w:pPr>
        <w:spacing w:after="0" w:line="360" w:lineRule="auto"/>
      </w:pPr>
      <w:r>
        <w:rPr>
          <w:noProof/>
          <w:lang w:val="en-US" w:eastAsia="en-US"/>
        </w:rPr>
        <w:drawing>
          <wp:anchor distT="0" distB="0" distL="114300" distR="114300" simplePos="0" relativeHeight="251668480" behindDoc="0" locked="0" layoutInCell="1" allowOverlap="1" wp14:anchorId="1F213FBB" wp14:editId="52C96C41">
            <wp:simplePos x="0" y="0"/>
            <wp:positionH relativeFrom="column">
              <wp:posOffset>-111937</wp:posOffset>
            </wp:positionH>
            <wp:positionV relativeFrom="paragraph">
              <wp:posOffset>220457</wp:posOffset>
            </wp:positionV>
            <wp:extent cx="4341600" cy="3193200"/>
            <wp:effectExtent l="0" t="0" r="1905" b="0"/>
            <wp:wrapThrough wrapText="bothSides">
              <wp:wrapPolygon edited="0">
                <wp:start x="0" y="0"/>
                <wp:lineTo x="0" y="21480"/>
                <wp:lineTo x="21546" y="21480"/>
                <wp:lineTo x="21546" y="0"/>
                <wp:lineTo x="0" y="0"/>
              </wp:wrapPolygon>
            </wp:wrapThrough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SM Fig 19.jpg"/>
                    <pic:cNvPicPr/>
                  </pic:nvPicPr>
                  <pic:blipFill rotWithShape="1">
                    <a:blip r:embed="rId33"/>
                    <a:srcRect t="21763" b="22973"/>
                    <a:stretch/>
                  </pic:blipFill>
                  <pic:spPr bwMode="auto">
                    <a:xfrm>
                      <a:off x="0" y="0"/>
                      <a:ext cx="4341600" cy="319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9504" behindDoc="0" locked="0" layoutInCell="1" allowOverlap="1" wp14:anchorId="76492BBF" wp14:editId="2EAE771A">
            <wp:simplePos x="0" y="0"/>
            <wp:positionH relativeFrom="column">
              <wp:posOffset>4435997</wp:posOffset>
            </wp:positionH>
            <wp:positionV relativeFrom="paragraph">
              <wp:posOffset>121631</wp:posOffset>
            </wp:positionV>
            <wp:extent cx="4592955" cy="3286760"/>
            <wp:effectExtent l="0" t="0" r="4445" b="2540"/>
            <wp:wrapThrough wrapText="bothSides">
              <wp:wrapPolygon edited="0">
                <wp:start x="0" y="0"/>
                <wp:lineTo x="0" y="21533"/>
                <wp:lineTo x="21561" y="21533"/>
                <wp:lineTo x="21561" y="0"/>
                <wp:lineTo x="0" y="0"/>
              </wp:wrapPolygon>
            </wp:wrapThrough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SM Fig 20.jpg"/>
                    <pic:cNvPicPr/>
                  </pic:nvPicPr>
                  <pic:blipFill rotWithShape="1">
                    <a:blip r:embed="rId34"/>
                    <a:srcRect t="21763" b="24487"/>
                    <a:stretch/>
                  </pic:blipFill>
                  <pic:spPr bwMode="auto">
                    <a:xfrm>
                      <a:off x="0" y="0"/>
                      <a:ext cx="4592955" cy="328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836D9" w14:textId="5A9A77B7" w:rsidR="00730DD5" w:rsidRDefault="00730DD5">
      <w:pPr>
        <w:spacing w:after="0" w:line="360" w:lineRule="auto"/>
      </w:pPr>
    </w:p>
    <w:sectPr w:rsidR="00730DD5" w:rsidSect="00691365">
      <w:footerReference w:type="even" r:id="rId35"/>
      <w:footerReference w:type="default" r:id="rId36"/>
      <w:footerReference w:type="first" r:id="rId37"/>
      <w:pgSz w:w="16820" w:h="11900" w:orient="landscape"/>
      <w:pgMar w:top="1134" w:right="1686" w:bottom="1134" w:left="1417" w:header="720" w:footer="1134" w:gutter="0"/>
      <w:cols w:space="720"/>
      <w:docGrid w:linePitch="360" w:charSpace="-245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EF67C" w14:textId="77777777" w:rsidR="00BA57FA" w:rsidRDefault="00BA57FA">
      <w:pPr>
        <w:spacing w:after="0" w:line="240" w:lineRule="auto"/>
      </w:pPr>
      <w:r>
        <w:separator/>
      </w:r>
    </w:p>
  </w:endnote>
  <w:endnote w:type="continuationSeparator" w:id="0">
    <w:p w14:paraId="39797D00" w14:textId="77777777" w:rsidR="00BA57FA" w:rsidRDefault="00BA5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242F5E" w14:textId="77777777" w:rsidR="002B5315" w:rsidRDefault="002B53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01D4E" w14:textId="77777777" w:rsidR="002B5315" w:rsidRDefault="002B5315">
    <w:pPr>
      <w:pStyle w:val="Footer"/>
      <w:jc w:val="right"/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 w:rsidR="00251774">
      <w:rPr>
        <w:noProof/>
        <w:lang w:val="en-US"/>
      </w:rPr>
      <w:t>4</w:t>
    </w:r>
    <w:r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07C23" w14:textId="77777777" w:rsidR="002B5315" w:rsidRDefault="002B531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D25B7" w14:textId="77777777" w:rsidR="002B5315" w:rsidRDefault="002B5315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6D593" w14:textId="77777777" w:rsidR="002B5315" w:rsidRDefault="002B5315">
    <w:pPr>
      <w:pStyle w:val="Footer"/>
      <w:jc w:val="right"/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 w:rsidR="00251774">
      <w:rPr>
        <w:noProof/>
        <w:lang w:val="en-US"/>
      </w:rPr>
      <w:t>13</w:t>
    </w:r>
    <w:r>
      <w:rPr>
        <w:lang w:val="en-US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21440" w14:textId="77777777" w:rsidR="002B5315" w:rsidRDefault="002B53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7E5C54" w14:textId="77777777" w:rsidR="00BA57FA" w:rsidRDefault="00BA57FA">
      <w:pPr>
        <w:spacing w:after="0" w:line="240" w:lineRule="auto"/>
      </w:pPr>
      <w:r>
        <w:separator/>
      </w:r>
    </w:p>
  </w:footnote>
  <w:footnote w:type="continuationSeparator" w:id="0">
    <w:p w14:paraId="47286910" w14:textId="77777777" w:rsidR="00BA57FA" w:rsidRDefault="00BA5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BE8B3" w14:textId="77777777" w:rsidR="00814A51" w:rsidRDefault="00814A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058E6" w14:textId="77777777" w:rsidR="00814A51" w:rsidRDefault="00814A5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5C60A" w14:textId="77777777" w:rsidR="00814A51" w:rsidRDefault="00814A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oNotTrackMoves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92"/>
  </w:docVars>
  <w:rsids>
    <w:rsidRoot w:val="00C21497"/>
    <w:rsid w:val="000103F2"/>
    <w:rsid w:val="00016255"/>
    <w:rsid w:val="00114F19"/>
    <w:rsid w:val="00120333"/>
    <w:rsid w:val="001364AB"/>
    <w:rsid w:val="00140AC4"/>
    <w:rsid w:val="001568D2"/>
    <w:rsid w:val="00162E75"/>
    <w:rsid w:val="00166D34"/>
    <w:rsid w:val="001A4AEC"/>
    <w:rsid w:val="001A5393"/>
    <w:rsid w:val="001B7DF7"/>
    <w:rsid w:val="001C3466"/>
    <w:rsid w:val="001F48C0"/>
    <w:rsid w:val="001F54D1"/>
    <w:rsid w:val="0024639C"/>
    <w:rsid w:val="00251774"/>
    <w:rsid w:val="002631D9"/>
    <w:rsid w:val="0027518B"/>
    <w:rsid w:val="00275A3D"/>
    <w:rsid w:val="00296882"/>
    <w:rsid w:val="002B5315"/>
    <w:rsid w:val="002C7EBB"/>
    <w:rsid w:val="002D46EB"/>
    <w:rsid w:val="002E4A40"/>
    <w:rsid w:val="002E716E"/>
    <w:rsid w:val="00335FEA"/>
    <w:rsid w:val="00337D8C"/>
    <w:rsid w:val="00347B1D"/>
    <w:rsid w:val="0036319A"/>
    <w:rsid w:val="00365BBE"/>
    <w:rsid w:val="00374FD1"/>
    <w:rsid w:val="0038190E"/>
    <w:rsid w:val="00387163"/>
    <w:rsid w:val="00396F1E"/>
    <w:rsid w:val="00396F4E"/>
    <w:rsid w:val="003A64F8"/>
    <w:rsid w:val="003D7E56"/>
    <w:rsid w:val="003E27DC"/>
    <w:rsid w:val="004130A6"/>
    <w:rsid w:val="00417A95"/>
    <w:rsid w:val="004243EE"/>
    <w:rsid w:val="00424698"/>
    <w:rsid w:val="00471CED"/>
    <w:rsid w:val="004856F3"/>
    <w:rsid w:val="0049019A"/>
    <w:rsid w:val="004B3995"/>
    <w:rsid w:val="004C05E0"/>
    <w:rsid w:val="00541DBB"/>
    <w:rsid w:val="005629F6"/>
    <w:rsid w:val="005738B8"/>
    <w:rsid w:val="00581B12"/>
    <w:rsid w:val="00585591"/>
    <w:rsid w:val="00586893"/>
    <w:rsid w:val="005A39DC"/>
    <w:rsid w:val="005E2636"/>
    <w:rsid w:val="005E38A8"/>
    <w:rsid w:val="00615EDF"/>
    <w:rsid w:val="00617C82"/>
    <w:rsid w:val="00661813"/>
    <w:rsid w:val="00691365"/>
    <w:rsid w:val="00692FEF"/>
    <w:rsid w:val="00704086"/>
    <w:rsid w:val="00730DD5"/>
    <w:rsid w:val="00742D1C"/>
    <w:rsid w:val="007C2C2D"/>
    <w:rsid w:val="007F47DC"/>
    <w:rsid w:val="00814A51"/>
    <w:rsid w:val="008340F8"/>
    <w:rsid w:val="008375A8"/>
    <w:rsid w:val="00851DFA"/>
    <w:rsid w:val="008729D1"/>
    <w:rsid w:val="008763ED"/>
    <w:rsid w:val="008B0C5B"/>
    <w:rsid w:val="008F0CCA"/>
    <w:rsid w:val="009174AF"/>
    <w:rsid w:val="0094011B"/>
    <w:rsid w:val="0095025D"/>
    <w:rsid w:val="00953E0C"/>
    <w:rsid w:val="009672D3"/>
    <w:rsid w:val="00971E16"/>
    <w:rsid w:val="00981806"/>
    <w:rsid w:val="00986113"/>
    <w:rsid w:val="009C1019"/>
    <w:rsid w:val="009C7EB9"/>
    <w:rsid w:val="009D17E7"/>
    <w:rsid w:val="00A0389F"/>
    <w:rsid w:val="00A351CC"/>
    <w:rsid w:val="00A46AB0"/>
    <w:rsid w:val="00A63BA1"/>
    <w:rsid w:val="00A771F8"/>
    <w:rsid w:val="00A83A56"/>
    <w:rsid w:val="00AA386E"/>
    <w:rsid w:val="00AD70D4"/>
    <w:rsid w:val="00AF0729"/>
    <w:rsid w:val="00B00864"/>
    <w:rsid w:val="00B24B36"/>
    <w:rsid w:val="00B3716C"/>
    <w:rsid w:val="00B72B82"/>
    <w:rsid w:val="00BA57FA"/>
    <w:rsid w:val="00BC29D0"/>
    <w:rsid w:val="00BE292C"/>
    <w:rsid w:val="00C0781C"/>
    <w:rsid w:val="00C16EB2"/>
    <w:rsid w:val="00C21497"/>
    <w:rsid w:val="00C263D6"/>
    <w:rsid w:val="00C31C1D"/>
    <w:rsid w:val="00C9469D"/>
    <w:rsid w:val="00CA01F2"/>
    <w:rsid w:val="00CA2661"/>
    <w:rsid w:val="00CC66B8"/>
    <w:rsid w:val="00D10ED6"/>
    <w:rsid w:val="00D1232B"/>
    <w:rsid w:val="00D26D27"/>
    <w:rsid w:val="00D36031"/>
    <w:rsid w:val="00D6044A"/>
    <w:rsid w:val="00D8775C"/>
    <w:rsid w:val="00DA4247"/>
    <w:rsid w:val="00DA7503"/>
    <w:rsid w:val="00DC727A"/>
    <w:rsid w:val="00E25E9D"/>
    <w:rsid w:val="00ED3D54"/>
    <w:rsid w:val="00EE25D1"/>
    <w:rsid w:val="00EF39D4"/>
    <w:rsid w:val="00F01288"/>
    <w:rsid w:val="00F6553D"/>
    <w:rsid w:val="00F72D29"/>
    <w:rsid w:val="00FA2129"/>
    <w:rsid w:val="00FB3BEE"/>
    <w:rsid w:val="00FC69FB"/>
    <w:rsid w:val="034D443F"/>
    <w:rsid w:val="09D52CAD"/>
    <w:rsid w:val="0D5C0144"/>
    <w:rsid w:val="0DF574FB"/>
    <w:rsid w:val="10223013"/>
    <w:rsid w:val="126B4022"/>
    <w:rsid w:val="1561499D"/>
    <w:rsid w:val="1AED176D"/>
    <w:rsid w:val="1EC34D77"/>
    <w:rsid w:val="225322BD"/>
    <w:rsid w:val="28BB532E"/>
    <w:rsid w:val="2B1B1FAB"/>
    <w:rsid w:val="2C1A0336"/>
    <w:rsid w:val="2C505C1C"/>
    <w:rsid w:val="43712947"/>
    <w:rsid w:val="491F1769"/>
    <w:rsid w:val="49B34EA2"/>
    <w:rsid w:val="4A1874B6"/>
    <w:rsid w:val="4CA14E3B"/>
    <w:rsid w:val="4EC83063"/>
    <w:rsid w:val="4F196DB8"/>
    <w:rsid w:val="5ECC5ADD"/>
    <w:rsid w:val="67770F39"/>
    <w:rsid w:val="69860760"/>
    <w:rsid w:val="6C0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4A7698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annotation reference" w:semiHidden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iPriority="0" w:unhideWhenUsed="0" w:qFormat="1"/>
    <w:lsdException w:name="HTML Preformatted" w:semiHidden="0" w:uiPriority="0" w:unhideWhenUsed="0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 w:eastAsia="zh-CN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after="0" w:line="240" w:lineRule="auto"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pPr>
      <w:spacing w:after="0" w:line="240" w:lineRule="auto"/>
    </w:p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</w:style>
  <w:style w:type="paragraph" w:styleId="CommentText">
    <w:name w:val="annotation text"/>
    <w:basedOn w:val="Normal"/>
    <w:link w:val="CommentTextChar1"/>
    <w:uiPriority w:val="99"/>
    <w:unhideWhenUsed/>
    <w:qFormat/>
  </w:style>
  <w:style w:type="paragraph" w:styleId="CommentSubject">
    <w:name w:val="annotation subject"/>
    <w:basedOn w:val="Testocommento1"/>
    <w:next w:val="Testocommento1"/>
    <w:qFormat/>
  </w:style>
  <w:style w:type="paragraph" w:customStyle="1" w:styleId="Testocommento1">
    <w:name w:val="Testo commento1"/>
    <w:basedOn w:val="Normal"/>
    <w:qFormat/>
    <w:rPr>
      <w:sz w:val="24"/>
      <w:szCs w:val="24"/>
    </w:rPr>
  </w:style>
  <w:style w:type="paragraph" w:styleId="Footer">
    <w:name w:val="footer"/>
    <w:basedOn w:val="Normal"/>
    <w:qFormat/>
  </w:style>
  <w:style w:type="paragraph" w:styleId="Header">
    <w:name w:val="header"/>
    <w:basedOn w:val="Normal"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</w:style>
  <w:style w:type="paragraph" w:styleId="List">
    <w:name w:val="List"/>
    <w:basedOn w:val="BodyText"/>
    <w:qFormat/>
    <w:rPr>
      <w:rFonts w:cs="Mangal"/>
    </w:rPr>
  </w:style>
  <w:style w:type="paragraph" w:styleId="NormalWeb">
    <w:name w:val="Normal (Web)"/>
    <w:basedOn w:val="Normal"/>
    <w:qFormat/>
    <w:pPr>
      <w:spacing w:before="280" w:after="280" w:line="240" w:lineRule="auto"/>
    </w:p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basedOn w:val="WW-DefaultParagraphFont"/>
    <w:qFormat/>
  </w:style>
  <w:style w:type="character" w:customStyle="1" w:styleId="WW-DefaultParagraphFont">
    <w:name w:val="WW-Default Paragraph Font"/>
    <w:qFormat/>
  </w:style>
  <w:style w:type="character" w:customStyle="1" w:styleId="WW8Num2z5">
    <w:name w:val="WW8Num2z5"/>
    <w:qFormat/>
  </w:style>
  <w:style w:type="character" w:customStyle="1" w:styleId="WW8Num2z2">
    <w:name w:val="WW8Num2z2"/>
    <w:qFormat/>
  </w:style>
  <w:style w:type="character" w:customStyle="1" w:styleId="ListLabel3">
    <w:name w:val="ListLabel 3"/>
    <w:qFormat/>
    <w:rPr>
      <w:rFonts w:cs="Courier New"/>
    </w:rPr>
  </w:style>
  <w:style w:type="character" w:customStyle="1" w:styleId="WW8Num1z8">
    <w:name w:val="WW8Num1z8"/>
    <w:qFormat/>
  </w:style>
  <w:style w:type="character" w:customStyle="1" w:styleId="WW8Num1z1">
    <w:name w:val="WW8Num1z1"/>
    <w:qFormat/>
  </w:style>
  <w:style w:type="character" w:customStyle="1" w:styleId="Carpredefinitoparagrafo3">
    <w:name w:val="Car. predefinito paragrafo3"/>
    <w:qFormat/>
  </w:style>
  <w:style w:type="character" w:customStyle="1" w:styleId="HTMLPreformattedChar">
    <w:name w:val="HTML Preformatted Char"/>
    <w:basedOn w:val="WW-DefaultParagraphFont"/>
    <w:qFormat/>
  </w:style>
  <w:style w:type="character" w:customStyle="1" w:styleId="Caratteridinumerazione">
    <w:name w:val="Caratteri di numerazione"/>
    <w:qFormat/>
  </w:style>
  <w:style w:type="character" w:customStyle="1" w:styleId="WW8Num1z3">
    <w:name w:val="WW8Num1z3"/>
    <w:qFormat/>
  </w:style>
  <w:style w:type="character" w:customStyle="1" w:styleId="Carpredefinitoparagrafo2">
    <w:name w:val="Car. predefinito paragrafo2"/>
    <w:qFormat/>
  </w:style>
  <w:style w:type="character" w:customStyle="1" w:styleId="WW8Num2z4">
    <w:name w:val="WW8Num2z4"/>
    <w:qFormat/>
  </w:style>
  <w:style w:type="character" w:customStyle="1" w:styleId="ListLabel1">
    <w:name w:val="ListLabel 1"/>
    <w:qFormat/>
    <w:rPr>
      <w:rFonts w:cs="Courier New"/>
    </w:rPr>
  </w:style>
  <w:style w:type="character" w:customStyle="1" w:styleId="WW8Num2z3">
    <w:name w:val="WW8Num2z3"/>
    <w:qFormat/>
  </w:style>
  <w:style w:type="character" w:customStyle="1" w:styleId="WW8Num1z0">
    <w:name w:val="WW8Num1z0"/>
    <w:qFormat/>
  </w:style>
  <w:style w:type="character" w:customStyle="1" w:styleId="WW8Num2z8">
    <w:name w:val="WW8Num2z8"/>
    <w:qFormat/>
  </w:style>
  <w:style w:type="character" w:customStyle="1" w:styleId="BalloonTextChar">
    <w:name w:val="Balloon Text Char"/>
    <w:basedOn w:val="WW-DefaultParagraphFont"/>
    <w:qFormat/>
  </w:style>
  <w:style w:type="character" w:customStyle="1" w:styleId="HeaderChar">
    <w:name w:val="Header Char"/>
    <w:basedOn w:val="WW-DefaultParagraphFont"/>
    <w:qFormat/>
  </w:style>
  <w:style w:type="character" w:customStyle="1" w:styleId="WW8Num1z2">
    <w:name w:val="WW8Num1z2"/>
    <w:qFormat/>
  </w:style>
  <w:style w:type="character" w:customStyle="1" w:styleId="WW8Num2z0">
    <w:name w:val="WW8Num2z0"/>
    <w:qFormat/>
  </w:style>
  <w:style w:type="character" w:customStyle="1" w:styleId="CommentTextChar1">
    <w:name w:val="Comment Text Char1"/>
    <w:link w:val="CommentText"/>
    <w:uiPriority w:val="99"/>
    <w:semiHidden/>
    <w:qFormat/>
    <w:rPr>
      <w:lang w:val="en-GB" w:eastAsia="zh-CN"/>
    </w:rPr>
  </w:style>
  <w:style w:type="character" w:customStyle="1" w:styleId="WW8Num1z4">
    <w:name w:val="WW8Num1z4"/>
    <w:qFormat/>
  </w:style>
  <w:style w:type="character" w:customStyle="1" w:styleId="WW-Carpredefinitoparagrafo">
    <w:name w:val="WW-Car. predefinito paragrafo"/>
    <w:qFormat/>
  </w:style>
  <w:style w:type="character" w:customStyle="1" w:styleId="WW8Num1z6">
    <w:name w:val="WW8Num1z6"/>
    <w:qFormat/>
  </w:style>
  <w:style w:type="character" w:customStyle="1" w:styleId="Carpredefinitoparagrafo4">
    <w:name w:val="Car. predefinito paragrafo4"/>
    <w:qFormat/>
  </w:style>
  <w:style w:type="character" w:customStyle="1" w:styleId="WW8Num2z6">
    <w:name w:val="WW8Num2z6"/>
    <w:qFormat/>
  </w:style>
  <w:style w:type="character" w:customStyle="1" w:styleId="WW8Num1z5">
    <w:name w:val="WW8Num1z5"/>
    <w:qFormat/>
  </w:style>
  <w:style w:type="character" w:customStyle="1" w:styleId="Heading2Char">
    <w:name w:val="Heading 2 Char"/>
    <w:basedOn w:val="WW-DefaultParagraphFont"/>
    <w:qFormat/>
  </w:style>
  <w:style w:type="character" w:customStyle="1" w:styleId="CommentSubjectChar">
    <w:name w:val="Comment Subject Char"/>
    <w:qFormat/>
  </w:style>
  <w:style w:type="character" w:customStyle="1" w:styleId="WW8Num2z7">
    <w:name w:val="WW8Num2z7"/>
    <w:qFormat/>
  </w:style>
  <w:style w:type="character" w:customStyle="1" w:styleId="Carpredefinitoparagrafo1">
    <w:name w:val="Car. predefinito paragrafo1"/>
    <w:qFormat/>
  </w:style>
  <w:style w:type="character" w:customStyle="1" w:styleId="ListLabel2">
    <w:name w:val="ListLabel 2"/>
    <w:qFormat/>
    <w:rPr>
      <w:rFonts w:cs="Courier New"/>
    </w:rPr>
  </w:style>
  <w:style w:type="character" w:customStyle="1" w:styleId="WW8Num1z7">
    <w:name w:val="WW8Num1z7"/>
    <w:qFormat/>
  </w:style>
  <w:style w:type="character" w:customStyle="1" w:styleId="Rimandocommento1">
    <w:name w:val="Rimando commento1"/>
    <w:qFormat/>
    <w:rPr>
      <w:sz w:val="18"/>
      <w:szCs w:val="18"/>
    </w:rPr>
  </w:style>
  <w:style w:type="character" w:customStyle="1" w:styleId="WW8Num2z1">
    <w:name w:val="WW8Num2z1"/>
    <w:qFormat/>
  </w:style>
  <w:style w:type="character" w:customStyle="1" w:styleId="CommentTextChar">
    <w:name w:val="Comment Text Char"/>
    <w:qFormat/>
    <w:rPr>
      <w:sz w:val="24"/>
      <w:szCs w:val="24"/>
    </w:rPr>
  </w:style>
  <w:style w:type="character" w:customStyle="1" w:styleId="TestofumettoCarattere">
    <w:name w:val="Testo fumetto Carattere"/>
    <w:qFormat/>
  </w:style>
  <w:style w:type="paragraph" w:customStyle="1" w:styleId="Contenutocornice">
    <w:name w:val="Contenuto cornice"/>
    <w:basedOn w:val="Normal"/>
    <w:qFormat/>
  </w:style>
  <w:style w:type="paragraph" w:customStyle="1" w:styleId="WW-Didascalia">
    <w:name w:val="WW-Didascalia"/>
    <w:basedOn w:val="Normal"/>
    <w:qFormat/>
    <w:pPr>
      <w:suppressLineNumbers/>
      <w:spacing w:before="120" w:after="120"/>
    </w:pPr>
  </w:style>
  <w:style w:type="paragraph" w:customStyle="1" w:styleId="Contenutotabella">
    <w:name w:val="Contenuto tabella"/>
    <w:basedOn w:val="Normal"/>
    <w:qFormat/>
  </w:style>
  <w:style w:type="paragraph" w:customStyle="1" w:styleId="Grigliamedia21">
    <w:name w:val="Griglia media 21"/>
    <w:qFormat/>
    <w:pPr>
      <w:suppressAutoHyphens/>
      <w:spacing w:after="160" w:line="259" w:lineRule="auto"/>
    </w:pPr>
    <w:rPr>
      <w:lang w:val="en-GB" w:eastAsia="zh-CN"/>
    </w:rPr>
  </w:style>
  <w:style w:type="paragraph" w:customStyle="1" w:styleId="Sfondoacolori-Colore11">
    <w:name w:val="Sfondo a colori - Colore 11"/>
    <w:qFormat/>
    <w:pPr>
      <w:suppressAutoHyphens/>
      <w:spacing w:after="160" w:line="259" w:lineRule="auto"/>
    </w:pPr>
    <w:rPr>
      <w:lang w:val="en-GB" w:eastAsia="zh-CN"/>
    </w:rPr>
  </w:style>
  <w:style w:type="paragraph" w:customStyle="1" w:styleId="Titolo1">
    <w:name w:val="Titolo1"/>
    <w:basedOn w:val="Normal"/>
    <w:next w:val="BodyText"/>
    <w:qFormat/>
    <w:pPr>
      <w:keepNext/>
      <w:spacing w:before="240" w:after="120"/>
    </w:pPr>
  </w:style>
  <w:style w:type="paragraph" w:customStyle="1" w:styleId="Titolotabella">
    <w:name w:val="Titolo tabella"/>
    <w:basedOn w:val="Contenutotabella"/>
    <w:qFormat/>
  </w:style>
  <w:style w:type="paragraph" w:customStyle="1" w:styleId="Elencoacolori-Colore11">
    <w:name w:val="Elenco a colori - Colore 11"/>
    <w:basedOn w:val="Normal"/>
    <w:qFormat/>
    <w:pPr>
      <w:ind w:left="720"/>
      <w:contextualSpacing/>
    </w:pPr>
  </w:style>
  <w:style w:type="paragraph" w:customStyle="1" w:styleId="address">
    <w:name w:val="&lt;address&gt;"/>
    <w:basedOn w:val="Normal"/>
    <w:qFormat/>
    <w:pPr>
      <w:spacing w:before="280" w:after="280" w:line="240" w:lineRule="auto"/>
      <w:ind w:left="720"/>
    </w:pPr>
  </w:style>
  <w:style w:type="paragraph" w:customStyle="1" w:styleId="Indice">
    <w:name w:val="Indice"/>
    <w:basedOn w:val="Normal"/>
    <w:qFormat/>
    <w:pPr>
      <w:suppressLineNumbers/>
    </w:pPr>
    <w:rPr>
      <w:rFonts w:cs="Mangal"/>
    </w:rPr>
  </w:style>
  <w:style w:type="paragraph" w:customStyle="1" w:styleId="Testofumetto1">
    <w:name w:val="Testo fumetto1"/>
    <w:basedOn w:val="Normal"/>
    <w:qFormat/>
    <w:pPr>
      <w:spacing w:after="0" w:line="240" w:lineRule="auto"/>
    </w:pPr>
  </w:style>
  <w:style w:type="paragraph" w:customStyle="1" w:styleId="Titolo5">
    <w:name w:val="Titolo5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3">
    <w:name w:val="Titolo3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">
    <w:name w:val="Titolo2"/>
    <w:basedOn w:val="Normal"/>
    <w:next w:val="BodyText"/>
    <w:qFormat/>
    <w:pPr>
      <w:keepNext/>
      <w:spacing w:before="240" w:after="120"/>
    </w:pPr>
  </w:style>
  <w:style w:type="paragraph" w:customStyle="1" w:styleId="Titolo4">
    <w:name w:val="Titolo4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vision1">
    <w:name w:val="Révision1"/>
    <w:hidden/>
    <w:uiPriority w:val="99"/>
    <w:semiHidden/>
    <w:rPr>
      <w:lang w:val="en-GB" w:eastAsia="zh-CN"/>
    </w:rPr>
  </w:style>
  <w:style w:type="table" w:styleId="TableGrid">
    <w:name w:val="Table Grid"/>
    <w:basedOn w:val="TableNormal"/>
    <w:uiPriority w:val="39"/>
    <w:rsid w:val="00691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annotation reference" w:semiHidden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iPriority="0" w:unhideWhenUsed="0" w:qFormat="1"/>
    <w:lsdException w:name="HTML Preformatted" w:semiHidden="0" w:uiPriority="0" w:unhideWhenUsed="0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 w:eastAsia="zh-CN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after="0" w:line="240" w:lineRule="auto"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pPr>
      <w:spacing w:after="0" w:line="240" w:lineRule="auto"/>
    </w:p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</w:style>
  <w:style w:type="paragraph" w:styleId="CommentText">
    <w:name w:val="annotation text"/>
    <w:basedOn w:val="Normal"/>
    <w:link w:val="CommentTextChar1"/>
    <w:uiPriority w:val="99"/>
    <w:unhideWhenUsed/>
    <w:qFormat/>
  </w:style>
  <w:style w:type="paragraph" w:styleId="CommentSubject">
    <w:name w:val="annotation subject"/>
    <w:basedOn w:val="Testocommento1"/>
    <w:next w:val="Testocommento1"/>
    <w:qFormat/>
  </w:style>
  <w:style w:type="paragraph" w:customStyle="1" w:styleId="Testocommento1">
    <w:name w:val="Testo commento1"/>
    <w:basedOn w:val="Normal"/>
    <w:qFormat/>
    <w:rPr>
      <w:sz w:val="24"/>
      <w:szCs w:val="24"/>
    </w:rPr>
  </w:style>
  <w:style w:type="paragraph" w:styleId="Footer">
    <w:name w:val="footer"/>
    <w:basedOn w:val="Normal"/>
    <w:qFormat/>
  </w:style>
  <w:style w:type="paragraph" w:styleId="Header">
    <w:name w:val="header"/>
    <w:basedOn w:val="Normal"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</w:style>
  <w:style w:type="paragraph" w:styleId="List">
    <w:name w:val="List"/>
    <w:basedOn w:val="BodyText"/>
    <w:qFormat/>
    <w:rPr>
      <w:rFonts w:cs="Mangal"/>
    </w:rPr>
  </w:style>
  <w:style w:type="paragraph" w:styleId="NormalWeb">
    <w:name w:val="Normal (Web)"/>
    <w:basedOn w:val="Normal"/>
    <w:qFormat/>
    <w:pPr>
      <w:spacing w:before="280" w:after="280" w:line="240" w:lineRule="auto"/>
    </w:p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basedOn w:val="WW-DefaultParagraphFont"/>
    <w:qFormat/>
  </w:style>
  <w:style w:type="character" w:customStyle="1" w:styleId="WW-DefaultParagraphFont">
    <w:name w:val="WW-Default Paragraph Font"/>
    <w:qFormat/>
  </w:style>
  <w:style w:type="character" w:customStyle="1" w:styleId="WW8Num2z5">
    <w:name w:val="WW8Num2z5"/>
    <w:qFormat/>
  </w:style>
  <w:style w:type="character" w:customStyle="1" w:styleId="WW8Num2z2">
    <w:name w:val="WW8Num2z2"/>
    <w:qFormat/>
  </w:style>
  <w:style w:type="character" w:customStyle="1" w:styleId="ListLabel3">
    <w:name w:val="ListLabel 3"/>
    <w:qFormat/>
    <w:rPr>
      <w:rFonts w:cs="Courier New"/>
    </w:rPr>
  </w:style>
  <w:style w:type="character" w:customStyle="1" w:styleId="WW8Num1z8">
    <w:name w:val="WW8Num1z8"/>
    <w:qFormat/>
  </w:style>
  <w:style w:type="character" w:customStyle="1" w:styleId="WW8Num1z1">
    <w:name w:val="WW8Num1z1"/>
    <w:qFormat/>
  </w:style>
  <w:style w:type="character" w:customStyle="1" w:styleId="Carpredefinitoparagrafo3">
    <w:name w:val="Car. predefinito paragrafo3"/>
    <w:qFormat/>
  </w:style>
  <w:style w:type="character" w:customStyle="1" w:styleId="HTMLPreformattedChar">
    <w:name w:val="HTML Preformatted Char"/>
    <w:basedOn w:val="WW-DefaultParagraphFont"/>
    <w:qFormat/>
  </w:style>
  <w:style w:type="character" w:customStyle="1" w:styleId="Caratteridinumerazione">
    <w:name w:val="Caratteri di numerazione"/>
    <w:qFormat/>
  </w:style>
  <w:style w:type="character" w:customStyle="1" w:styleId="WW8Num1z3">
    <w:name w:val="WW8Num1z3"/>
    <w:qFormat/>
  </w:style>
  <w:style w:type="character" w:customStyle="1" w:styleId="Carpredefinitoparagrafo2">
    <w:name w:val="Car. predefinito paragrafo2"/>
    <w:qFormat/>
  </w:style>
  <w:style w:type="character" w:customStyle="1" w:styleId="WW8Num2z4">
    <w:name w:val="WW8Num2z4"/>
    <w:qFormat/>
  </w:style>
  <w:style w:type="character" w:customStyle="1" w:styleId="ListLabel1">
    <w:name w:val="ListLabel 1"/>
    <w:qFormat/>
    <w:rPr>
      <w:rFonts w:cs="Courier New"/>
    </w:rPr>
  </w:style>
  <w:style w:type="character" w:customStyle="1" w:styleId="WW8Num2z3">
    <w:name w:val="WW8Num2z3"/>
    <w:qFormat/>
  </w:style>
  <w:style w:type="character" w:customStyle="1" w:styleId="WW8Num1z0">
    <w:name w:val="WW8Num1z0"/>
    <w:qFormat/>
  </w:style>
  <w:style w:type="character" w:customStyle="1" w:styleId="WW8Num2z8">
    <w:name w:val="WW8Num2z8"/>
    <w:qFormat/>
  </w:style>
  <w:style w:type="character" w:customStyle="1" w:styleId="BalloonTextChar">
    <w:name w:val="Balloon Text Char"/>
    <w:basedOn w:val="WW-DefaultParagraphFont"/>
    <w:qFormat/>
  </w:style>
  <w:style w:type="character" w:customStyle="1" w:styleId="HeaderChar">
    <w:name w:val="Header Char"/>
    <w:basedOn w:val="WW-DefaultParagraphFont"/>
    <w:qFormat/>
  </w:style>
  <w:style w:type="character" w:customStyle="1" w:styleId="WW8Num1z2">
    <w:name w:val="WW8Num1z2"/>
    <w:qFormat/>
  </w:style>
  <w:style w:type="character" w:customStyle="1" w:styleId="WW8Num2z0">
    <w:name w:val="WW8Num2z0"/>
    <w:qFormat/>
  </w:style>
  <w:style w:type="character" w:customStyle="1" w:styleId="CommentTextChar1">
    <w:name w:val="Comment Text Char1"/>
    <w:link w:val="CommentText"/>
    <w:uiPriority w:val="99"/>
    <w:semiHidden/>
    <w:qFormat/>
    <w:rPr>
      <w:lang w:val="en-GB" w:eastAsia="zh-CN"/>
    </w:rPr>
  </w:style>
  <w:style w:type="character" w:customStyle="1" w:styleId="WW8Num1z4">
    <w:name w:val="WW8Num1z4"/>
    <w:qFormat/>
  </w:style>
  <w:style w:type="character" w:customStyle="1" w:styleId="WW-Carpredefinitoparagrafo">
    <w:name w:val="WW-Car. predefinito paragrafo"/>
    <w:qFormat/>
  </w:style>
  <w:style w:type="character" w:customStyle="1" w:styleId="WW8Num1z6">
    <w:name w:val="WW8Num1z6"/>
    <w:qFormat/>
  </w:style>
  <w:style w:type="character" w:customStyle="1" w:styleId="Carpredefinitoparagrafo4">
    <w:name w:val="Car. predefinito paragrafo4"/>
    <w:qFormat/>
  </w:style>
  <w:style w:type="character" w:customStyle="1" w:styleId="WW8Num2z6">
    <w:name w:val="WW8Num2z6"/>
    <w:qFormat/>
  </w:style>
  <w:style w:type="character" w:customStyle="1" w:styleId="WW8Num1z5">
    <w:name w:val="WW8Num1z5"/>
    <w:qFormat/>
  </w:style>
  <w:style w:type="character" w:customStyle="1" w:styleId="Heading2Char">
    <w:name w:val="Heading 2 Char"/>
    <w:basedOn w:val="WW-DefaultParagraphFont"/>
    <w:qFormat/>
  </w:style>
  <w:style w:type="character" w:customStyle="1" w:styleId="CommentSubjectChar">
    <w:name w:val="Comment Subject Char"/>
    <w:qFormat/>
  </w:style>
  <w:style w:type="character" w:customStyle="1" w:styleId="WW8Num2z7">
    <w:name w:val="WW8Num2z7"/>
    <w:qFormat/>
  </w:style>
  <w:style w:type="character" w:customStyle="1" w:styleId="Carpredefinitoparagrafo1">
    <w:name w:val="Car. predefinito paragrafo1"/>
    <w:qFormat/>
  </w:style>
  <w:style w:type="character" w:customStyle="1" w:styleId="ListLabel2">
    <w:name w:val="ListLabel 2"/>
    <w:qFormat/>
    <w:rPr>
      <w:rFonts w:cs="Courier New"/>
    </w:rPr>
  </w:style>
  <w:style w:type="character" w:customStyle="1" w:styleId="WW8Num1z7">
    <w:name w:val="WW8Num1z7"/>
    <w:qFormat/>
  </w:style>
  <w:style w:type="character" w:customStyle="1" w:styleId="Rimandocommento1">
    <w:name w:val="Rimando commento1"/>
    <w:qFormat/>
    <w:rPr>
      <w:sz w:val="18"/>
      <w:szCs w:val="18"/>
    </w:rPr>
  </w:style>
  <w:style w:type="character" w:customStyle="1" w:styleId="WW8Num2z1">
    <w:name w:val="WW8Num2z1"/>
    <w:qFormat/>
  </w:style>
  <w:style w:type="character" w:customStyle="1" w:styleId="CommentTextChar">
    <w:name w:val="Comment Text Char"/>
    <w:qFormat/>
    <w:rPr>
      <w:sz w:val="24"/>
      <w:szCs w:val="24"/>
    </w:rPr>
  </w:style>
  <w:style w:type="character" w:customStyle="1" w:styleId="TestofumettoCarattere">
    <w:name w:val="Testo fumetto Carattere"/>
    <w:qFormat/>
  </w:style>
  <w:style w:type="paragraph" w:customStyle="1" w:styleId="Contenutocornice">
    <w:name w:val="Contenuto cornice"/>
    <w:basedOn w:val="Normal"/>
    <w:qFormat/>
  </w:style>
  <w:style w:type="paragraph" w:customStyle="1" w:styleId="WW-Didascalia">
    <w:name w:val="WW-Didascalia"/>
    <w:basedOn w:val="Normal"/>
    <w:qFormat/>
    <w:pPr>
      <w:suppressLineNumbers/>
      <w:spacing w:before="120" w:after="120"/>
    </w:pPr>
  </w:style>
  <w:style w:type="paragraph" w:customStyle="1" w:styleId="Contenutotabella">
    <w:name w:val="Contenuto tabella"/>
    <w:basedOn w:val="Normal"/>
    <w:qFormat/>
  </w:style>
  <w:style w:type="paragraph" w:customStyle="1" w:styleId="Grigliamedia21">
    <w:name w:val="Griglia media 21"/>
    <w:qFormat/>
    <w:pPr>
      <w:suppressAutoHyphens/>
      <w:spacing w:after="160" w:line="259" w:lineRule="auto"/>
    </w:pPr>
    <w:rPr>
      <w:lang w:val="en-GB" w:eastAsia="zh-CN"/>
    </w:rPr>
  </w:style>
  <w:style w:type="paragraph" w:customStyle="1" w:styleId="Sfondoacolori-Colore11">
    <w:name w:val="Sfondo a colori - Colore 11"/>
    <w:qFormat/>
    <w:pPr>
      <w:suppressAutoHyphens/>
      <w:spacing w:after="160" w:line="259" w:lineRule="auto"/>
    </w:pPr>
    <w:rPr>
      <w:lang w:val="en-GB" w:eastAsia="zh-CN"/>
    </w:rPr>
  </w:style>
  <w:style w:type="paragraph" w:customStyle="1" w:styleId="Titolo1">
    <w:name w:val="Titolo1"/>
    <w:basedOn w:val="Normal"/>
    <w:next w:val="BodyText"/>
    <w:qFormat/>
    <w:pPr>
      <w:keepNext/>
      <w:spacing w:before="240" w:after="120"/>
    </w:pPr>
  </w:style>
  <w:style w:type="paragraph" w:customStyle="1" w:styleId="Titolotabella">
    <w:name w:val="Titolo tabella"/>
    <w:basedOn w:val="Contenutotabella"/>
    <w:qFormat/>
  </w:style>
  <w:style w:type="paragraph" w:customStyle="1" w:styleId="Elencoacolori-Colore11">
    <w:name w:val="Elenco a colori - Colore 11"/>
    <w:basedOn w:val="Normal"/>
    <w:qFormat/>
    <w:pPr>
      <w:ind w:left="720"/>
      <w:contextualSpacing/>
    </w:pPr>
  </w:style>
  <w:style w:type="paragraph" w:customStyle="1" w:styleId="address">
    <w:name w:val="&lt;address&gt;"/>
    <w:basedOn w:val="Normal"/>
    <w:qFormat/>
    <w:pPr>
      <w:spacing w:before="280" w:after="280" w:line="240" w:lineRule="auto"/>
      <w:ind w:left="720"/>
    </w:pPr>
  </w:style>
  <w:style w:type="paragraph" w:customStyle="1" w:styleId="Indice">
    <w:name w:val="Indice"/>
    <w:basedOn w:val="Normal"/>
    <w:qFormat/>
    <w:pPr>
      <w:suppressLineNumbers/>
    </w:pPr>
    <w:rPr>
      <w:rFonts w:cs="Mangal"/>
    </w:rPr>
  </w:style>
  <w:style w:type="paragraph" w:customStyle="1" w:styleId="Testofumetto1">
    <w:name w:val="Testo fumetto1"/>
    <w:basedOn w:val="Normal"/>
    <w:qFormat/>
    <w:pPr>
      <w:spacing w:after="0" w:line="240" w:lineRule="auto"/>
    </w:pPr>
  </w:style>
  <w:style w:type="paragraph" w:customStyle="1" w:styleId="Titolo5">
    <w:name w:val="Titolo5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3">
    <w:name w:val="Titolo3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olo2">
    <w:name w:val="Titolo2"/>
    <w:basedOn w:val="Normal"/>
    <w:next w:val="BodyText"/>
    <w:qFormat/>
    <w:pPr>
      <w:keepNext/>
      <w:spacing w:before="240" w:after="120"/>
    </w:pPr>
  </w:style>
  <w:style w:type="paragraph" w:customStyle="1" w:styleId="Titolo4">
    <w:name w:val="Titolo4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Rvision1">
    <w:name w:val="Révision1"/>
    <w:hidden/>
    <w:uiPriority w:val="99"/>
    <w:semiHidden/>
    <w:rPr>
      <w:lang w:val="en-GB" w:eastAsia="zh-CN"/>
    </w:rPr>
  </w:style>
  <w:style w:type="table" w:styleId="TableGrid">
    <w:name w:val="Table Grid"/>
    <w:basedOn w:val="TableNormal"/>
    <w:uiPriority w:val="39"/>
    <w:rsid w:val="00691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4.jpg"/><Relationship Id="rId26" Type="http://schemas.openxmlformats.org/officeDocument/2006/relationships/image" Target="media/image12.jp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jpg"/><Relationship Id="rId34" Type="http://schemas.openxmlformats.org/officeDocument/2006/relationships/image" Target="media/image20.jp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jpg"/><Relationship Id="rId25" Type="http://schemas.openxmlformats.org/officeDocument/2006/relationships/image" Target="media/image11.jpg"/><Relationship Id="rId33" Type="http://schemas.openxmlformats.org/officeDocument/2006/relationships/image" Target="media/image19.jp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29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0.jpg"/><Relationship Id="rId32" Type="http://schemas.openxmlformats.org/officeDocument/2006/relationships/image" Target="media/image18.jpg"/><Relationship Id="rId37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image" Target="media/image1.jpg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36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image" Target="media/image5.jpg"/><Relationship Id="rId31" Type="http://schemas.openxmlformats.org/officeDocument/2006/relationships/image" Target="media/image17.jp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30" Type="http://schemas.openxmlformats.org/officeDocument/2006/relationships/image" Target="media/image16.jpg"/><Relationship Id="rId35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18</Pages>
  <Words>1263</Words>
  <Characters>7317</Characters>
  <Application>Microsoft Office Word</Application>
  <DocSecurity>0</DocSecurity>
  <Lines>215</Lines>
  <Paragraphs>80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S3G_Reference_Citation_Sequence</cp:lastModifiedBy>
  <cp:revision>18</cp:revision>
  <cp:lastPrinted>2018-04-09T14:29:00Z</cp:lastPrinted>
  <dcterms:created xsi:type="dcterms:W3CDTF">2019-02-16T16:00:00Z</dcterms:created>
  <dcterms:modified xsi:type="dcterms:W3CDTF">2019-08-15T21:31:00Z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ndeley Document_1">
    <vt:lpwstr>True</vt:lpwstr>
  </property>
  <property fmtid="{D5CDD505-2E9C-101B-9397-08002B2CF9AE}" pid="9" name="Mendeley Unique User Id_1">
    <vt:lpwstr>f66a0e1b-ceac-3613-ae2d-26045111c515</vt:lpwstr>
  </property>
  <property fmtid="{D5CDD505-2E9C-101B-9397-08002B2CF9AE}" pid="10" name="Mendeley Citation Style_1">
    <vt:lpwstr>http://www.zotero.org/styles/vancouver</vt:lpwstr>
  </property>
  <property fmtid="{D5CDD505-2E9C-101B-9397-08002B2CF9AE}" pid="11" name="Mendeley Recent Style Id 0_1">
    <vt:lpwstr>http://www.zotero.org/styles/american-medical-association</vt:lpwstr>
  </property>
  <property fmtid="{D5CDD505-2E9C-101B-9397-08002B2CF9AE}" pid="12" name="Mendeley Recent Style Name 0_1">
    <vt:lpwstr>American Medical Association</vt:lpwstr>
  </property>
  <property fmtid="{D5CDD505-2E9C-101B-9397-08002B2CF9AE}" pid="13" name="Mendeley Recent Style Id 1_1">
    <vt:lpwstr>http://www.zotero.org/styles/american-political-science-association</vt:lpwstr>
  </property>
  <property fmtid="{D5CDD505-2E9C-101B-9397-08002B2CF9AE}" pid="14" name="Mendeley Recent Style Name 1_1">
    <vt:lpwstr>American Political Science Association</vt:lpwstr>
  </property>
  <property fmtid="{D5CDD505-2E9C-101B-9397-08002B2CF9AE}" pid="15" name="Mendeley Recent Style Id 2_1">
    <vt:lpwstr>http://www.zotero.org/styles/apa</vt:lpwstr>
  </property>
  <property fmtid="{D5CDD505-2E9C-101B-9397-08002B2CF9AE}" pid="16" name="Mendeley Recent Style Name 2_1">
    <vt:lpwstr>American Psychological Association 6th edition</vt:lpwstr>
  </property>
  <property fmtid="{D5CDD505-2E9C-101B-9397-08002B2CF9AE}" pid="17" name="Mendeley Recent Style Id 3_1">
    <vt:lpwstr>http://www.zotero.org/styles/american-sociological-association</vt:lpwstr>
  </property>
  <property fmtid="{D5CDD505-2E9C-101B-9397-08002B2CF9AE}" pid="18" name="Mendeley Recent Style Name 3_1">
    <vt:lpwstr>American Sociological Association</vt:lpwstr>
  </property>
  <property fmtid="{D5CDD505-2E9C-101B-9397-08002B2CF9AE}" pid="19" name="Mendeley Recent Style Id 4_1">
    <vt:lpwstr>http://www.zotero.org/styles/british-journal-of-anaesthesia</vt:lpwstr>
  </property>
  <property fmtid="{D5CDD505-2E9C-101B-9397-08002B2CF9AE}" pid="20" name="Mendeley Recent Style Name 4_1">
    <vt:lpwstr>British Journal of Anaesthesia</vt:lpwstr>
  </property>
  <property fmtid="{D5CDD505-2E9C-101B-9397-08002B2CF9AE}" pid="21" name="Mendeley Recent Style Id 5_1">
    <vt:lpwstr>http://www.zotero.org/styles/chicago-author-date</vt:lpwstr>
  </property>
  <property fmtid="{D5CDD505-2E9C-101B-9397-08002B2CF9AE}" pid="22" name="Mendeley Recent Style Name 5_1">
    <vt:lpwstr>Chicago Manual of Style 16th edition (author-date)</vt:lpwstr>
  </property>
  <property fmtid="{D5CDD505-2E9C-101B-9397-08002B2CF9AE}" pid="23" name="Mendeley Recent Style Id 6_1">
    <vt:lpwstr>http://www.zotero.org/styles/ieee</vt:lpwstr>
  </property>
  <property fmtid="{D5CDD505-2E9C-101B-9397-08002B2CF9AE}" pid="24" name="Mendeley Recent Style Name 6_1">
    <vt:lpwstr>IEEE</vt:lpwstr>
  </property>
  <property fmtid="{D5CDD505-2E9C-101B-9397-08002B2CF9AE}" pid="25" name="Mendeley Recent Style Id 7_1">
    <vt:lpwstr>http://www.zotero.org/styles/intensive-care-medicine</vt:lpwstr>
  </property>
  <property fmtid="{D5CDD505-2E9C-101B-9397-08002B2CF9AE}" pid="26" name="Mendeley Recent Style Name 7_1">
    <vt:lpwstr>Intensive Care Medicine</vt:lpwstr>
  </property>
  <property fmtid="{D5CDD505-2E9C-101B-9397-08002B2CF9AE}" pid="27" name="Mendeley Recent Style Id 8_1">
    <vt:lpwstr>http://www.zotero.org/styles/plos-medicine</vt:lpwstr>
  </property>
  <property fmtid="{D5CDD505-2E9C-101B-9397-08002B2CF9AE}" pid="28" name="Mendeley Recent Style Name 8_1">
    <vt:lpwstr>PLOS Medicine</vt:lpwstr>
  </property>
  <property fmtid="{D5CDD505-2E9C-101B-9397-08002B2CF9AE}" pid="29" name="Mendeley Recent Style Id 9_1">
    <vt:lpwstr>http://www.zotero.org/styles/vancouver</vt:lpwstr>
  </property>
  <property fmtid="{D5CDD505-2E9C-101B-9397-08002B2CF9AE}" pid="30" name="Mendeley Recent Style Name 9_1">
    <vt:lpwstr>Vancouver</vt:lpwstr>
  </property>
  <property fmtid="{D5CDD505-2E9C-101B-9397-08002B2CF9AE}" pid="31" name="KSOProductBuildVer">
    <vt:lpwstr>1033-10.2.0.5978</vt:lpwstr>
  </property>
</Properties>
</file>