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391" w:rsidRPr="002F6391" w:rsidRDefault="002F6391" w:rsidP="002F6391">
      <w:pPr>
        <w:pStyle w:val="Heading1"/>
        <w:rPr>
          <w:rFonts w:ascii="Times New Roman" w:hAnsi="Times New Roman" w:cs="Times New Roman"/>
          <w:b w:val="0"/>
        </w:rPr>
      </w:pPr>
      <w:r w:rsidRPr="002F6391">
        <w:rPr>
          <w:rFonts w:ascii="Times New Roman" w:hAnsi="Times New Roman" w:cs="Times New Roman"/>
          <w:b w:val="0"/>
        </w:rPr>
        <w:t xml:space="preserve">Additional table </w:t>
      </w:r>
      <w:r w:rsidR="00B858F9">
        <w:rPr>
          <w:rFonts w:ascii="Times New Roman" w:hAnsi="Times New Roman" w:cs="Times New Roman"/>
          <w:b w:val="0"/>
        </w:rPr>
        <w:t>S</w:t>
      </w:r>
      <w:bookmarkStart w:id="0" w:name="_GoBack"/>
      <w:bookmarkEnd w:id="0"/>
      <w:r w:rsidRPr="002F6391">
        <w:rPr>
          <w:rFonts w:ascii="Times New Roman" w:hAnsi="Times New Roman" w:cs="Times New Roman"/>
          <w:b w:val="0"/>
        </w:rPr>
        <w:t xml:space="preserve">4: Variables associated with the time to in-hospital death in patients with </w:t>
      </w:r>
      <w:r w:rsidRPr="002F6391">
        <w:rPr>
          <w:rFonts w:ascii="Times New Roman" w:hAnsi="Times New Roman" w:cs="Times New Roman"/>
          <w:b w:val="0"/>
          <w:i/>
        </w:rPr>
        <w:t>S. maltophilia</w:t>
      </w:r>
      <w:r w:rsidRPr="002F6391">
        <w:rPr>
          <w:rFonts w:ascii="Times New Roman" w:hAnsi="Times New Roman" w:cs="Times New Roman"/>
          <w:b w:val="0"/>
        </w:rPr>
        <w:t xml:space="preserve"> ventilator-associated pneumonia</w:t>
      </w:r>
    </w:p>
    <w:p w:rsidR="002F6391" w:rsidRPr="00F85D2E" w:rsidRDefault="002F6391" w:rsidP="002F63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pPr w:leftFromText="141" w:rightFromText="141" w:vertAnchor="text" w:tblpY="1"/>
        <w:tblW w:w="9450" w:type="dxa"/>
        <w:tblLayout w:type="fixed"/>
        <w:tblLook w:val="04A0" w:firstRow="1" w:lastRow="0" w:firstColumn="1" w:lastColumn="0" w:noHBand="0" w:noVBand="1"/>
      </w:tblPr>
      <w:tblGrid>
        <w:gridCol w:w="3875"/>
        <w:gridCol w:w="2093"/>
        <w:gridCol w:w="976"/>
        <w:gridCol w:w="1635"/>
        <w:gridCol w:w="871"/>
      </w:tblGrid>
      <w:tr w:rsidR="002F6391" w:rsidRPr="00F85D2E" w:rsidTr="005B71CA">
        <w:trPr>
          <w:trHeight w:val="503"/>
        </w:trPr>
        <w:tc>
          <w:tcPr>
            <w:tcW w:w="3875" w:type="dxa"/>
            <w:vMerge w:val="restart"/>
            <w:tcBorders>
              <w:left w:val="nil"/>
              <w:right w:val="nil"/>
            </w:tcBorders>
            <w:vAlign w:val="center"/>
          </w:tcPr>
          <w:p w:rsidR="002F6391" w:rsidRPr="00F85D2E" w:rsidRDefault="002F6391" w:rsidP="005B71CA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3069" w:type="dxa"/>
            <w:gridSpan w:val="2"/>
            <w:tcBorders>
              <w:left w:val="nil"/>
              <w:right w:val="nil"/>
            </w:tcBorders>
            <w:vAlign w:val="center"/>
          </w:tcPr>
          <w:p w:rsidR="002F6391" w:rsidRPr="00F85D2E" w:rsidRDefault="002F6391" w:rsidP="005B71CA">
            <w:p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Univariate analysis</w:t>
            </w:r>
          </w:p>
        </w:tc>
        <w:tc>
          <w:tcPr>
            <w:tcW w:w="2506" w:type="dxa"/>
            <w:gridSpan w:val="2"/>
            <w:tcBorders>
              <w:left w:val="nil"/>
              <w:right w:val="nil"/>
            </w:tcBorders>
            <w:vAlign w:val="center"/>
          </w:tcPr>
          <w:p w:rsidR="002F6391" w:rsidRPr="00F85D2E" w:rsidRDefault="002F6391" w:rsidP="005B71CA">
            <w:p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Multivariate analysis</w:t>
            </w:r>
          </w:p>
        </w:tc>
      </w:tr>
      <w:tr w:rsidR="002F6391" w:rsidRPr="00F85D2E" w:rsidTr="005B71CA">
        <w:trPr>
          <w:trHeight w:val="503"/>
        </w:trPr>
        <w:tc>
          <w:tcPr>
            <w:tcW w:w="38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F6391" w:rsidRPr="00F85D2E" w:rsidRDefault="002F6391" w:rsidP="005B71CA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F6391" w:rsidRPr="00F85D2E" w:rsidRDefault="002F6391" w:rsidP="005B71CA">
            <w:p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HR [IC 95%]</w:t>
            </w:r>
          </w:p>
        </w:tc>
        <w:tc>
          <w:tcPr>
            <w:tcW w:w="9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F6391" w:rsidRPr="00F85D2E" w:rsidRDefault="002F6391" w:rsidP="005B71CA">
            <w:p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6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F6391" w:rsidRPr="00F85D2E" w:rsidRDefault="002F6391" w:rsidP="005B71CA">
            <w:p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HR [IC 95%]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F6391" w:rsidRPr="00F85D2E" w:rsidRDefault="002F6391" w:rsidP="005B71CA">
            <w:p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Age 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1.026 [1.011; 1.041]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1.02 [1.01; 1.04]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0.003</w:t>
            </w: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SAPS II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1.008 [0.999 ; 1.018]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0.0925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Mechanical ventilation at diagnosis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1.341 [0.55 ; 3.29]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0.5223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Duration of MV before the diagnosis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0.999 [0.992 ; 1.005]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0.7423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SOFA score at diagnosis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1.096 [1.050 ; 1.144]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1.1 [1.05; 1.15]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&lt;0.001</w:t>
            </w: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Bacteremia 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0.899 [0.42 ; 1.94]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0.7856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Monomicrobial pneumonia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1.302 [0.90 ; 1.89]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0.1675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Co-infection with </w:t>
            </w:r>
            <w:r w:rsidRPr="00F85D2E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>Pseudomonas aeruginosa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0.887 [0.55 ; 1.44]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0.6279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Empirical antibiotic therapy 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0.828 [0.57 ; 1.20]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0.3208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Empirical antibiotic therapy effective against </w:t>
            </w:r>
            <w:r w:rsidRPr="00F85D2E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>S. maltophilia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0.951 [0.56 ; 1.61]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0.8532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Effective combination antimicrobial therapy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1.25 [0.83; 1.88]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Duration of effective antimicrobial therapy</w:t>
            </w:r>
            <w:r w:rsidRPr="00F85D2E" w:rsidDel="002D2BF0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against</w:t>
            </w:r>
            <w:r w:rsidRPr="00F85D2E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 xml:space="preserve"> S. maltophilia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1.03 [0.98;1.08]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F6391" w:rsidRPr="00F85D2E" w:rsidTr="005B71CA">
        <w:trPr>
          <w:trHeight w:val="303"/>
        </w:trPr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Duration of effective combination therapy against</w:t>
            </w:r>
            <w:r w:rsidRPr="00F85D2E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 xml:space="preserve"> S. maltophilia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0.84 [0.52; 1.35]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F85D2E">
              <w:rPr>
                <w:rFonts w:ascii="Times New Roman" w:eastAsia="Cambria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6391" w:rsidRPr="00F85D2E" w:rsidRDefault="002F6391" w:rsidP="005B71CA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:rsidR="002F6391" w:rsidRPr="00F85D2E" w:rsidRDefault="002F6391" w:rsidP="002F6391">
      <w:pPr>
        <w:rPr>
          <w:rFonts w:ascii="Times New Roman" w:eastAsia="Cambria" w:hAnsi="Times New Roman" w:cs="Times New Roman"/>
          <w:sz w:val="20"/>
          <w:szCs w:val="20"/>
        </w:rPr>
      </w:pPr>
    </w:p>
    <w:p w:rsidR="002F6391" w:rsidRPr="00F85D2E" w:rsidRDefault="002F6391" w:rsidP="002F639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5D2E">
        <w:rPr>
          <w:rFonts w:ascii="Times New Roman" w:eastAsia="Cambria" w:hAnsi="Times New Roman" w:cs="Times New Roman"/>
          <w:sz w:val="20"/>
          <w:szCs w:val="20"/>
        </w:rPr>
        <w:t xml:space="preserve">SAPS: Simplified Acute Physiology Score, MV: mechanical ventilation, HR: hazard ratio, </w:t>
      </w:r>
      <w:r w:rsidRPr="00F85D2E">
        <w:rPr>
          <w:rFonts w:ascii="Times New Roman" w:eastAsia="Cambria" w:hAnsi="Times New Roman" w:cs="Times New Roman"/>
          <w:i/>
          <w:sz w:val="20"/>
          <w:szCs w:val="20"/>
        </w:rPr>
        <w:t>S. maltophilia</w:t>
      </w:r>
      <w:r w:rsidRPr="00F85D2E">
        <w:rPr>
          <w:rFonts w:ascii="Times New Roman" w:eastAsia="Cambria" w:hAnsi="Times New Roman" w:cs="Times New Roman"/>
          <w:sz w:val="20"/>
          <w:szCs w:val="20"/>
        </w:rPr>
        <w:t xml:space="preserve">: </w:t>
      </w:r>
      <w:r w:rsidRPr="00F85D2E">
        <w:rPr>
          <w:rFonts w:ascii="Times New Roman" w:eastAsia="Cambria" w:hAnsi="Times New Roman" w:cs="Times New Roman"/>
          <w:i/>
          <w:sz w:val="20"/>
          <w:szCs w:val="20"/>
        </w:rPr>
        <w:t>Stenotrophomonas maltophilia</w:t>
      </w:r>
      <w:r w:rsidRPr="00F85D2E">
        <w:rPr>
          <w:rFonts w:ascii="Times New Roman" w:eastAsia="Cambria" w:hAnsi="Times New Roman" w:cs="Times New Roman"/>
          <w:sz w:val="20"/>
          <w:szCs w:val="20"/>
        </w:rPr>
        <w:t>, SOFA: Sequential Organ Failure Assessment</w:t>
      </w:r>
    </w:p>
    <w:p w:rsidR="00162B67" w:rsidRDefault="00162B67"/>
    <w:sectPr w:rsidR="00162B67" w:rsidSect="00C6283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F6391"/>
    <w:rsid w:val="00162B67"/>
    <w:rsid w:val="002F6391"/>
    <w:rsid w:val="0080793B"/>
    <w:rsid w:val="00B858F9"/>
    <w:rsid w:val="00C6283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91"/>
    <w:pPr>
      <w:spacing w:line="276" w:lineRule="auto"/>
    </w:pPr>
    <w:rPr>
      <w:rFonts w:eastAsia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3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gendedefigure">
    <w:name w:val="Légende de figure"/>
    <w:basedOn w:val="Normal"/>
    <w:qFormat/>
    <w:rsid w:val="0080793B"/>
    <w:pPr>
      <w:spacing w:after="0" w:line="360" w:lineRule="auto"/>
      <w:jc w:val="both"/>
    </w:pPr>
    <w:rPr>
      <w:rFonts w:asciiTheme="majorHAnsi" w:eastAsiaTheme="minorEastAsia" w:hAnsiTheme="majorHAnsi"/>
      <w:sz w:val="24"/>
      <w:szCs w:val="24"/>
      <w:lang w:val="fr-FR" w:eastAsia="fr-FR"/>
    </w:rPr>
  </w:style>
  <w:style w:type="table" w:customStyle="1" w:styleId="TableGrid1">
    <w:name w:val="Table Grid1"/>
    <w:basedOn w:val="TableNormal"/>
    <w:next w:val="TableGrid"/>
    <w:uiPriority w:val="59"/>
    <w:rsid w:val="002F6391"/>
    <w:pPr>
      <w:spacing w:after="0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F63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63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91"/>
    <w:pPr>
      <w:spacing w:line="276" w:lineRule="auto"/>
    </w:pPr>
    <w:rPr>
      <w:rFonts w:eastAsia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3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gendedefigure">
    <w:name w:val="Légende de figure"/>
    <w:basedOn w:val="Normal"/>
    <w:qFormat/>
    <w:rsid w:val="0080793B"/>
    <w:pPr>
      <w:spacing w:after="0" w:line="360" w:lineRule="auto"/>
      <w:jc w:val="both"/>
    </w:pPr>
    <w:rPr>
      <w:rFonts w:asciiTheme="majorHAnsi" w:eastAsiaTheme="minorEastAsia" w:hAnsiTheme="majorHAnsi"/>
      <w:sz w:val="24"/>
      <w:szCs w:val="24"/>
      <w:lang w:val="fr-FR" w:eastAsia="fr-FR"/>
    </w:rPr>
  </w:style>
  <w:style w:type="table" w:customStyle="1" w:styleId="TableGrid1">
    <w:name w:val="Table Grid1"/>
    <w:basedOn w:val="TableNormal"/>
    <w:next w:val="TableGrid"/>
    <w:uiPriority w:val="59"/>
    <w:rsid w:val="002F6391"/>
    <w:pPr>
      <w:spacing w:after="0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F63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63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1121</Characters>
  <Application>Microsoft Office Word</Application>
  <DocSecurity>0</DocSecurity>
  <Lines>86</Lines>
  <Paragraphs>61</Paragraphs>
  <ScaleCrop>false</ScaleCrop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Bouglé</dc:creator>
  <cp:keywords/>
  <dc:description/>
  <cp:lastModifiedBy>S3G_Reference_Citation_Sequence</cp:lastModifiedBy>
  <cp:revision>2</cp:revision>
  <dcterms:created xsi:type="dcterms:W3CDTF">2019-10-02T15:22:00Z</dcterms:created>
  <dcterms:modified xsi:type="dcterms:W3CDTF">2019-11-01T04:33:00Z</dcterms:modified>
</cp:coreProperties>
</file>