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7D10A" w14:textId="1CC88BB2" w:rsidR="00FD2E07" w:rsidRPr="00026C2E" w:rsidRDefault="00387B79">
      <w:pPr>
        <w:rPr>
          <w:rFonts w:ascii="Arial" w:hAnsi="Arial" w:cs="Arial"/>
          <w:b/>
          <w:color w:val="2F5496" w:themeColor="accent1" w:themeShade="BF"/>
          <w:sz w:val="28"/>
        </w:rPr>
      </w:pPr>
      <w:r>
        <w:rPr>
          <w:rFonts w:ascii="Arial" w:hAnsi="Arial" w:cs="Arial"/>
          <w:b/>
          <w:color w:val="2F5496" w:themeColor="accent1" w:themeShade="BF"/>
          <w:sz w:val="28"/>
        </w:rPr>
        <w:t>Additional file 1</w:t>
      </w:r>
      <w:bookmarkStart w:id="0" w:name="_GoBack"/>
      <w:bookmarkEnd w:id="0"/>
    </w:p>
    <w:p w14:paraId="5ADB33F7" w14:textId="77777777" w:rsidR="00026C2E" w:rsidRDefault="00026C2E"/>
    <w:p w14:paraId="26656193" w14:textId="77777777" w:rsidR="00026C2E" w:rsidRDefault="00026C2E"/>
    <w:p w14:paraId="1A5D0BE3" w14:textId="77777777" w:rsidR="00026C2E" w:rsidRDefault="00026C2E"/>
    <w:p w14:paraId="7E9DC1E0" w14:textId="77777777" w:rsidR="00026C2E" w:rsidRDefault="00026C2E"/>
    <w:p w14:paraId="0523BA58" w14:textId="77777777" w:rsidR="00026C2E" w:rsidRPr="00487711" w:rsidRDefault="00026C2E" w:rsidP="00026C2E">
      <w:pPr>
        <w:spacing w:line="276" w:lineRule="auto"/>
        <w:rPr>
          <w:rFonts w:ascii="Arial" w:hAnsi="Arial" w:cs="Arial"/>
          <w:b/>
          <w:color w:val="2F5496" w:themeColor="accent1" w:themeShade="BF"/>
          <w:sz w:val="28"/>
          <w:szCs w:val="22"/>
        </w:rPr>
      </w:pPr>
      <w:r w:rsidRPr="00487711">
        <w:rPr>
          <w:rFonts w:ascii="Arial" w:hAnsi="Arial" w:cs="Arial"/>
          <w:b/>
          <w:color w:val="2F5496" w:themeColor="accent1" w:themeShade="BF"/>
          <w:sz w:val="28"/>
          <w:szCs w:val="22"/>
        </w:rPr>
        <w:t>Murine sepsis phenotypes and differential treatment effects in a randomized trial of prompt antibiotics and fluids</w:t>
      </w:r>
    </w:p>
    <w:p w14:paraId="46B08122" w14:textId="77777777" w:rsidR="00026C2E" w:rsidRDefault="00026C2E" w:rsidP="00026C2E">
      <w:pPr>
        <w:jc w:val="center"/>
        <w:rPr>
          <w:rFonts w:ascii="Arial" w:hAnsi="Arial" w:cs="Arial"/>
          <w:b/>
          <w:sz w:val="22"/>
          <w:szCs w:val="22"/>
        </w:rPr>
      </w:pPr>
    </w:p>
    <w:p w14:paraId="7C56D3E8" w14:textId="77777777" w:rsidR="00026C2E" w:rsidRPr="008415D9" w:rsidRDefault="00026C2E" w:rsidP="00026C2E">
      <w:pPr>
        <w:jc w:val="center"/>
        <w:rPr>
          <w:rFonts w:ascii="Arial" w:hAnsi="Arial" w:cs="Arial"/>
          <w:b/>
          <w:sz w:val="22"/>
          <w:szCs w:val="22"/>
        </w:rPr>
      </w:pPr>
    </w:p>
    <w:p w14:paraId="2A0C7454" w14:textId="77777777" w:rsidR="00026C2E" w:rsidRPr="008415D9" w:rsidRDefault="00026C2E" w:rsidP="00026C2E">
      <w:pPr>
        <w:rPr>
          <w:rFonts w:ascii="Arial" w:hAnsi="Arial" w:cs="Arial"/>
          <w:sz w:val="22"/>
          <w:szCs w:val="22"/>
        </w:rPr>
      </w:pPr>
      <w:r w:rsidRPr="008415D9">
        <w:rPr>
          <w:rFonts w:ascii="Arial" w:hAnsi="Arial" w:cs="Arial"/>
          <w:sz w:val="22"/>
          <w:szCs w:val="22"/>
        </w:rPr>
        <w:t>Christopher W. Seymour, MD MSc</w:t>
      </w:r>
      <w:r>
        <w:rPr>
          <w:rFonts w:ascii="Arial" w:hAnsi="Arial" w:cs="Arial"/>
          <w:sz w:val="22"/>
          <w:szCs w:val="22"/>
          <w:vertAlign w:val="superscript"/>
        </w:rPr>
        <w:t>1-3</w:t>
      </w:r>
      <w:r w:rsidRPr="008415D9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>Samantha J. Kerti, MS</w:t>
      </w:r>
      <w:r>
        <w:rPr>
          <w:rFonts w:ascii="Arial" w:hAnsi="Arial" w:cs="Arial"/>
          <w:sz w:val="22"/>
          <w:szCs w:val="22"/>
          <w:vertAlign w:val="superscript"/>
        </w:rPr>
        <w:t>1,2</w:t>
      </w:r>
      <w:r>
        <w:rPr>
          <w:rFonts w:ascii="Arial" w:hAnsi="Arial" w:cs="Arial"/>
          <w:sz w:val="22"/>
          <w:szCs w:val="22"/>
        </w:rPr>
        <w:t>;</w:t>
      </w:r>
      <w:r w:rsidRPr="008415D9">
        <w:rPr>
          <w:rFonts w:ascii="Arial" w:hAnsi="Arial" w:cs="Arial"/>
          <w:sz w:val="22"/>
          <w:szCs w:val="22"/>
        </w:rPr>
        <w:t xml:space="preserve"> Anthony J. Lewis, MD MSc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 w:rsidRPr="008415D9">
        <w:rPr>
          <w:rFonts w:ascii="Arial" w:hAnsi="Arial" w:cs="Arial"/>
          <w:sz w:val="22"/>
          <w:szCs w:val="22"/>
        </w:rPr>
        <w:t>;</w:t>
      </w:r>
      <w:r w:rsidRPr="008415D9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Jason Kennedy</w:t>
      </w:r>
      <w:r w:rsidRPr="008415D9">
        <w:rPr>
          <w:rFonts w:ascii="Arial" w:hAnsi="Arial" w:cs="Arial"/>
          <w:sz w:val="22"/>
          <w:szCs w:val="22"/>
        </w:rPr>
        <w:t>, MS</w:t>
      </w:r>
      <w:r w:rsidRPr="008415D9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,2</w:t>
      </w:r>
      <w:r w:rsidRPr="008415D9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>Emily Brant, MD,</w:t>
      </w:r>
      <w:r w:rsidRPr="00B6161F">
        <w:rPr>
          <w:rFonts w:ascii="Arial" w:hAnsi="Arial" w:cs="Arial"/>
          <w:sz w:val="22"/>
          <w:szCs w:val="22"/>
          <w:vertAlign w:val="superscript"/>
        </w:rPr>
        <w:t>1,2</w:t>
      </w:r>
      <w:r>
        <w:rPr>
          <w:rFonts w:ascii="Arial" w:hAnsi="Arial" w:cs="Arial"/>
          <w:sz w:val="22"/>
          <w:szCs w:val="22"/>
        </w:rPr>
        <w:t xml:space="preserve"> </w:t>
      </w:r>
      <w:r w:rsidRPr="008415D9">
        <w:rPr>
          <w:rFonts w:ascii="Arial" w:hAnsi="Arial" w:cs="Arial"/>
          <w:sz w:val="22"/>
          <w:szCs w:val="22"/>
        </w:rPr>
        <w:t>John E. Griepentrog, MD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 w:rsidRPr="008415D9">
        <w:rPr>
          <w:rFonts w:ascii="Arial" w:hAnsi="Arial" w:cs="Arial"/>
          <w:sz w:val="22"/>
          <w:szCs w:val="22"/>
        </w:rPr>
        <w:t>; Xianghong Zhang, PhD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 w:rsidRPr="008415D9">
        <w:rPr>
          <w:rFonts w:ascii="Arial" w:hAnsi="Arial" w:cs="Arial"/>
          <w:sz w:val="22"/>
          <w:szCs w:val="22"/>
        </w:rPr>
        <w:t>; Derek C. Angus, MD MPH</w:t>
      </w:r>
      <w:r>
        <w:rPr>
          <w:rFonts w:ascii="Arial" w:hAnsi="Arial" w:cs="Arial"/>
          <w:sz w:val="22"/>
          <w:szCs w:val="22"/>
          <w:vertAlign w:val="superscript"/>
        </w:rPr>
        <w:t>1,2</w:t>
      </w:r>
      <w:r w:rsidRPr="008415D9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Chung-Chou H. Chang, Ph.D</w:t>
      </w:r>
      <w:r w:rsidRPr="008415D9">
        <w:rPr>
          <w:rFonts w:ascii="Arial" w:hAnsi="Arial" w:cs="Arial"/>
          <w:sz w:val="22"/>
          <w:szCs w:val="22"/>
          <w:vertAlign w:val="superscript"/>
        </w:rPr>
        <w:t>1,2,</w:t>
      </w:r>
      <w:r>
        <w:rPr>
          <w:rFonts w:ascii="Arial" w:hAnsi="Arial" w:cs="Arial"/>
          <w:sz w:val="22"/>
          <w:szCs w:val="22"/>
          <w:vertAlign w:val="superscript"/>
        </w:rPr>
        <w:t>5</w:t>
      </w:r>
      <w:r w:rsidRPr="008415D9">
        <w:rPr>
          <w:rFonts w:ascii="Arial" w:hAnsi="Arial" w:cs="Arial"/>
          <w:sz w:val="22"/>
          <w:szCs w:val="22"/>
        </w:rPr>
        <w:t>; and Matthew R. Rosengart, MD MPH</w:t>
      </w:r>
      <w:r w:rsidRPr="008415D9">
        <w:rPr>
          <w:rFonts w:ascii="Arial" w:hAnsi="Arial" w:cs="Arial"/>
          <w:sz w:val="22"/>
          <w:szCs w:val="22"/>
          <w:vertAlign w:val="superscript"/>
        </w:rPr>
        <w:t>1,2,</w:t>
      </w:r>
      <w:r>
        <w:rPr>
          <w:rFonts w:ascii="Arial" w:hAnsi="Arial" w:cs="Arial"/>
          <w:sz w:val="22"/>
          <w:szCs w:val="22"/>
          <w:vertAlign w:val="superscript"/>
        </w:rPr>
        <w:t>4</w:t>
      </w:r>
    </w:p>
    <w:p w14:paraId="3AD77689" w14:textId="77777777" w:rsidR="00026C2E" w:rsidRDefault="00026C2E">
      <w:r>
        <w:br w:type="page"/>
      </w:r>
    </w:p>
    <w:p w14:paraId="76EB2C33" w14:textId="563A1199" w:rsidR="00026C2E" w:rsidRPr="009C4257" w:rsidRDefault="00026C2E" w:rsidP="00026C2E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9C4257">
        <w:rPr>
          <w:rFonts w:ascii="Arial" w:hAnsi="Arial" w:cs="Arial"/>
          <w:b/>
          <w:sz w:val="22"/>
          <w:szCs w:val="22"/>
        </w:rPr>
        <w:lastRenderedPageBreak/>
        <w:t xml:space="preserve">Figure </w:t>
      </w:r>
      <w:r w:rsidR="00387B79">
        <w:rPr>
          <w:rFonts w:ascii="Arial" w:hAnsi="Arial" w:cs="Arial"/>
          <w:b/>
          <w:sz w:val="22"/>
          <w:szCs w:val="22"/>
        </w:rPr>
        <w:t>S</w:t>
      </w:r>
      <w:r w:rsidRPr="009C4257">
        <w:rPr>
          <w:rFonts w:ascii="Arial" w:hAnsi="Arial" w:cs="Arial"/>
          <w:b/>
          <w:sz w:val="22"/>
          <w:szCs w:val="22"/>
        </w:rPr>
        <w:t>1</w:t>
      </w:r>
    </w:p>
    <w:p w14:paraId="370B96D7" w14:textId="77777777" w:rsidR="00026C2E" w:rsidRDefault="00026C2E" w:rsidP="00026C2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Sensitivity analysis comparing the trajectory of heart rate and temperature after CLP for Class 1 (N=36, </w:t>
      </w:r>
      <w:r w:rsidRPr="00606920">
        <w:rPr>
          <w:rFonts w:ascii="Arial" w:hAnsi="Arial" w:cs="Arial"/>
          <w:i/>
          <w:sz w:val="22"/>
          <w:szCs w:val="22"/>
        </w:rPr>
        <w:t>red</w:t>
      </w:r>
      <w:r>
        <w:rPr>
          <w:rFonts w:ascii="Arial" w:hAnsi="Arial" w:cs="Arial"/>
          <w:sz w:val="22"/>
          <w:szCs w:val="22"/>
        </w:rPr>
        <w:t xml:space="preserve">) vs. Class 2 (N=82, </w:t>
      </w:r>
      <w:r w:rsidRPr="00606920">
        <w:rPr>
          <w:rFonts w:ascii="Arial" w:hAnsi="Arial" w:cs="Arial"/>
          <w:i/>
          <w:sz w:val="22"/>
          <w:szCs w:val="22"/>
        </w:rPr>
        <w:t>blue</w:t>
      </w:r>
      <w:r>
        <w:rPr>
          <w:rFonts w:ascii="Arial" w:hAnsi="Arial" w:cs="Arial"/>
          <w:i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derived using latent class mixture models that do not include the time-to-deterioration variable. Panel A shows heart rate (bpm) and Panel B shows temperature (</w:t>
      </w:r>
      <w:r>
        <w:rPr>
          <w:rFonts w:ascii="Arial" w:hAnsi="Arial" w:cs="Arial"/>
          <w:sz w:val="22"/>
          <w:szCs w:val="22"/>
        </w:rPr>
        <w:sym w:font="Symbol" w:char="F0B0"/>
      </w:r>
      <w:r>
        <w:rPr>
          <w:rFonts w:ascii="Arial" w:hAnsi="Arial" w:cs="Arial"/>
          <w:sz w:val="22"/>
          <w:szCs w:val="22"/>
        </w:rPr>
        <w:t>C).</w:t>
      </w:r>
    </w:p>
    <w:p w14:paraId="52A688C0" w14:textId="77777777" w:rsidR="00026C2E" w:rsidRDefault="00026C2E" w:rsidP="00026C2E">
      <w:pPr>
        <w:spacing w:line="480" w:lineRule="auto"/>
        <w:rPr>
          <w:rFonts w:ascii="Arial" w:hAnsi="Arial" w:cs="Arial"/>
          <w:sz w:val="22"/>
          <w:szCs w:val="22"/>
        </w:rPr>
      </w:pPr>
    </w:p>
    <w:p w14:paraId="59D91500" w14:textId="295ED264" w:rsidR="00026C2E" w:rsidRDefault="00441DD3" w:rsidP="00026C2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5BA1E85" wp14:editId="19557949">
            <wp:extent cx="6479177" cy="235864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urine_eFigure1 copy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1205" cy="236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78660" w14:textId="77777777" w:rsidR="00026C2E" w:rsidRDefault="00026C2E" w:rsidP="00026C2E">
      <w:pPr>
        <w:spacing w:line="480" w:lineRule="auto"/>
        <w:rPr>
          <w:rFonts w:ascii="Arial" w:hAnsi="Arial" w:cs="Arial"/>
          <w:sz w:val="22"/>
          <w:szCs w:val="22"/>
        </w:rPr>
      </w:pPr>
    </w:p>
    <w:p w14:paraId="53BB07DC" w14:textId="77777777" w:rsidR="00026C2E" w:rsidRDefault="00026C2E" w:rsidP="00026C2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9296DD8" w14:textId="076BC92E" w:rsidR="00026C2E" w:rsidRPr="00014975" w:rsidRDefault="00026C2E" w:rsidP="00026C2E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014975">
        <w:rPr>
          <w:rFonts w:ascii="Arial" w:hAnsi="Arial" w:cs="Arial"/>
          <w:b/>
          <w:sz w:val="22"/>
          <w:szCs w:val="22"/>
        </w:rPr>
        <w:lastRenderedPageBreak/>
        <w:t xml:space="preserve">Figure </w:t>
      </w:r>
      <w:r w:rsidR="00387B79">
        <w:rPr>
          <w:rFonts w:ascii="Arial" w:hAnsi="Arial" w:cs="Arial"/>
          <w:b/>
          <w:sz w:val="22"/>
          <w:szCs w:val="22"/>
        </w:rPr>
        <w:t>S</w:t>
      </w:r>
      <w:r w:rsidRPr="00014975">
        <w:rPr>
          <w:rFonts w:ascii="Arial" w:hAnsi="Arial" w:cs="Arial"/>
          <w:b/>
          <w:sz w:val="22"/>
          <w:szCs w:val="22"/>
        </w:rPr>
        <w:t>2</w:t>
      </w:r>
    </w:p>
    <w:p w14:paraId="5567D906" w14:textId="77777777" w:rsidR="00026C2E" w:rsidRDefault="00026C2E" w:rsidP="00026C2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Sensitivity analysis of heterogeneity of treatment effects. </w:t>
      </w:r>
      <w:r w:rsidRPr="00B11B0E">
        <w:rPr>
          <w:rFonts w:ascii="Arial" w:hAnsi="Arial" w:cs="Arial"/>
          <w:sz w:val="22"/>
          <w:szCs w:val="22"/>
        </w:rPr>
        <w:t xml:space="preserve">Panel A shows survival for mice with greater than the median time to deterioration (N=29, </w:t>
      </w:r>
      <w:r w:rsidRPr="00B11B0E">
        <w:rPr>
          <w:rFonts w:ascii="Arial" w:hAnsi="Arial" w:cs="Arial"/>
          <w:i/>
          <w:sz w:val="22"/>
          <w:szCs w:val="22"/>
        </w:rPr>
        <w:t>red</w:t>
      </w:r>
      <w:r w:rsidRPr="00B11B0E">
        <w:rPr>
          <w:rFonts w:ascii="Arial" w:hAnsi="Arial" w:cs="Arial"/>
          <w:sz w:val="22"/>
          <w:szCs w:val="22"/>
        </w:rPr>
        <w:t xml:space="preserve">) and Panel B shows survival for mice less than the median time to deterioration (N=27, </w:t>
      </w:r>
      <w:r w:rsidRPr="00B11B0E">
        <w:rPr>
          <w:rFonts w:ascii="Arial" w:hAnsi="Arial" w:cs="Arial"/>
          <w:i/>
          <w:sz w:val="22"/>
          <w:szCs w:val="22"/>
        </w:rPr>
        <w:t>blue</w:t>
      </w:r>
      <w:r w:rsidRPr="00B11B0E">
        <w:rPr>
          <w:rFonts w:ascii="Arial" w:hAnsi="Arial" w:cs="Arial"/>
          <w:sz w:val="22"/>
          <w:szCs w:val="22"/>
        </w:rPr>
        <w:t>) who were</w:t>
      </w:r>
      <w:r>
        <w:rPr>
          <w:rFonts w:ascii="Arial" w:hAnsi="Arial" w:cs="Arial"/>
          <w:sz w:val="22"/>
          <w:szCs w:val="22"/>
        </w:rPr>
        <w:t xml:space="preserve"> subsequently randomized to immediate (</w:t>
      </w:r>
      <w:r>
        <w:rPr>
          <w:rFonts w:ascii="Arial" w:hAnsi="Arial" w:cs="Arial"/>
          <w:i/>
          <w:sz w:val="22"/>
          <w:szCs w:val="22"/>
        </w:rPr>
        <w:t>solid</w:t>
      </w:r>
      <w:r>
        <w:rPr>
          <w:rFonts w:ascii="Arial" w:hAnsi="Arial" w:cs="Arial"/>
          <w:sz w:val="22"/>
          <w:szCs w:val="22"/>
        </w:rPr>
        <w:t>) vs. delayed (</w:t>
      </w:r>
      <w:r>
        <w:rPr>
          <w:rFonts w:ascii="Arial" w:hAnsi="Arial" w:cs="Arial"/>
          <w:i/>
          <w:sz w:val="22"/>
          <w:szCs w:val="22"/>
        </w:rPr>
        <w:t>dashed</w:t>
      </w:r>
      <w:r>
        <w:rPr>
          <w:rFonts w:ascii="Arial" w:hAnsi="Arial" w:cs="Arial"/>
          <w:sz w:val="22"/>
          <w:szCs w:val="22"/>
        </w:rPr>
        <w:t xml:space="preserve">) antibiotics after CLP. P </w:t>
      </w:r>
      <w:r w:rsidRPr="008C2B4B">
        <w:rPr>
          <w:rFonts w:ascii="Arial" w:hAnsi="Arial" w:cs="Arial"/>
          <w:color w:val="000000" w:themeColor="text1"/>
          <w:sz w:val="22"/>
          <w:szCs w:val="22"/>
        </w:rPr>
        <w:t xml:space="preserve">value for interaction = 0.9, as both </w:t>
      </w:r>
      <w:r>
        <w:rPr>
          <w:rFonts w:ascii="Arial" w:hAnsi="Arial" w:cs="Arial"/>
          <w:sz w:val="22"/>
          <w:szCs w:val="22"/>
        </w:rPr>
        <w:t>groups had improved survival when randomized to immediate treatment.</w:t>
      </w:r>
    </w:p>
    <w:p w14:paraId="0BFDA80E" w14:textId="77777777" w:rsidR="00026C2E" w:rsidRDefault="00026C2E" w:rsidP="00026C2E">
      <w:pPr>
        <w:spacing w:line="480" w:lineRule="auto"/>
        <w:rPr>
          <w:rFonts w:ascii="Arial" w:hAnsi="Arial" w:cs="Arial"/>
          <w:sz w:val="22"/>
          <w:szCs w:val="22"/>
        </w:rPr>
      </w:pPr>
    </w:p>
    <w:p w14:paraId="1D24D1A4" w14:textId="174B03FE" w:rsidR="00026C2E" w:rsidRDefault="00772625" w:rsidP="00026C2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3E4D61B" wp14:editId="2F3CDC71">
            <wp:extent cx="6080760" cy="3134360"/>
            <wp:effectExtent l="0" t="0" r="254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urine_efigure2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B4F08" w14:textId="77777777" w:rsidR="00026C2E" w:rsidRDefault="00026C2E" w:rsidP="00026C2E">
      <w:pPr>
        <w:spacing w:line="480" w:lineRule="auto"/>
        <w:rPr>
          <w:rFonts w:ascii="Arial" w:hAnsi="Arial" w:cs="Arial"/>
          <w:sz w:val="22"/>
          <w:szCs w:val="22"/>
        </w:rPr>
      </w:pPr>
    </w:p>
    <w:p w14:paraId="0363A034" w14:textId="77777777" w:rsidR="00026C2E" w:rsidRDefault="00026C2E" w:rsidP="00026C2E">
      <w:pPr>
        <w:spacing w:line="480" w:lineRule="auto"/>
        <w:rPr>
          <w:rFonts w:ascii="Arial" w:hAnsi="Arial" w:cs="Arial"/>
          <w:sz w:val="22"/>
          <w:szCs w:val="22"/>
        </w:rPr>
      </w:pPr>
    </w:p>
    <w:p w14:paraId="2005AA82" w14:textId="77777777" w:rsidR="00026C2E" w:rsidRDefault="00026C2E" w:rsidP="00026C2E">
      <w:pPr>
        <w:spacing w:line="480" w:lineRule="auto"/>
        <w:rPr>
          <w:rFonts w:ascii="Arial" w:hAnsi="Arial" w:cs="Arial"/>
          <w:sz w:val="22"/>
          <w:szCs w:val="22"/>
        </w:rPr>
      </w:pPr>
    </w:p>
    <w:p w14:paraId="146AF8DF" w14:textId="77777777" w:rsidR="00026C2E" w:rsidRDefault="00026C2E" w:rsidP="00026C2E">
      <w:pPr>
        <w:spacing w:line="480" w:lineRule="auto"/>
        <w:rPr>
          <w:rFonts w:ascii="Arial" w:hAnsi="Arial" w:cs="Arial"/>
          <w:sz w:val="22"/>
          <w:szCs w:val="22"/>
        </w:rPr>
      </w:pPr>
    </w:p>
    <w:p w14:paraId="66DA4CF7" w14:textId="77777777" w:rsidR="00026C2E" w:rsidRDefault="00026C2E" w:rsidP="00026C2E">
      <w:pPr>
        <w:spacing w:line="480" w:lineRule="auto"/>
        <w:rPr>
          <w:rFonts w:ascii="Arial" w:hAnsi="Arial" w:cs="Arial"/>
          <w:sz w:val="22"/>
          <w:szCs w:val="22"/>
        </w:rPr>
      </w:pPr>
    </w:p>
    <w:p w14:paraId="5FC78448" w14:textId="77777777" w:rsidR="00026C2E" w:rsidRDefault="00026C2E"/>
    <w:sectPr w:rsidR="00026C2E" w:rsidSect="00883EDA">
      <w:type w:val="continuous"/>
      <w:pgSz w:w="12240" w:h="15840"/>
      <w:pgMar w:top="994" w:right="1325" w:bottom="1195" w:left="1339" w:header="763" w:footer="1022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026C2E"/>
    <w:rsid w:val="000045D6"/>
    <w:rsid w:val="00005845"/>
    <w:rsid w:val="00012C43"/>
    <w:rsid w:val="00026C2E"/>
    <w:rsid w:val="000434A3"/>
    <w:rsid w:val="00092AE9"/>
    <w:rsid w:val="000A118E"/>
    <w:rsid w:val="000A49F8"/>
    <w:rsid w:val="000C1EB5"/>
    <w:rsid w:val="00130FF5"/>
    <w:rsid w:val="00141408"/>
    <w:rsid w:val="00147ACE"/>
    <w:rsid w:val="0017505B"/>
    <w:rsid w:val="001849A2"/>
    <w:rsid w:val="00195DAE"/>
    <w:rsid w:val="001B6E3E"/>
    <w:rsid w:val="001C2B82"/>
    <w:rsid w:val="001D0A24"/>
    <w:rsid w:val="001D6E21"/>
    <w:rsid w:val="00202146"/>
    <w:rsid w:val="00222543"/>
    <w:rsid w:val="002328EE"/>
    <w:rsid w:val="00244009"/>
    <w:rsid w:val="00272C98"/>
    <w:rsid w:val="00282BF2"/>
    <w:rsid w:val="002A072C"/>
    <w:rsid w:val="002C429D"/>
    <w:rsid w:val="003115FE"/>
    <w:rsid w:val="003224C2"/>
    <w:rsid w:val="0033429E"/>
    <w:rsid w:val="0037374E"/>
    <w:rsid w:val="00386F61"/>
    <w:rsid w:val="00387B79"/>
    <w:rsid w:val="003C2D63"/>
    <w:rsid w:val="003F5283"/>
    <w:rsid w:val="003F6C06"/>
    <w:rsid w:val="00407E3A"/>
    <w:rsid w:val="00441DD3"/>
    <w:rsid w:val="004517B6"/>
    <w:rsid w:val="004617B2"/>
    <w:rsid w:val="00480F34"/>
    <w:rsid w:val="00483593"/>
    <w:rsid w:val="00487962"/>
    <w:rsid w:val="004A369B"/>
    <w:rsid w:val="004E4F14"/>
    <w:rsid w:val="004E54CD"/>
    <w:rsid w:val="00502181"/>
    <w:rsid w:val="00553124"/>
    <w:rsid w:val="0059016C"/>
    <w:rsid w:val="005A2072"/>
    <w:rsid w:val="005B7354"/>
    <w:rsid w:val="005C4385"/>
    <w:rsid w:val="005E5279"/>
    <w:rsid w:val="005E7615"/>
    <w:rsid w:val="006104D8"/>
    <w:rsid w:val="00617035"/>
    <w:rsid w:val="0062313E"/>
    <w:rsid w:val="00640B11"/>
    <w:rsid w:val="006525D8"/>
    <w:rsid w:val="006609AB"/>
    <w:rsid w:val="006772AC"/>
    <w:rsid w:val="00677B20"/>
    <w:rsid w:val="006800B8"/>
    <w:rsid w:val="006B12B2"/>
    <w:rsid w:val="006B4421"/>
    <w:rsid w:val="006E2BC0"/>
    <w:rsid w:val="007061F0"/>
    <w:rsid w:val="00706AE0"/>
    <w:rsid w:val="007370EC"/>
    <w:rsid w:val="00741280"/>
    <w:rsid w:val="00772625"/>
    <w:rsid w:val="00785CFD"/>
    <w:rsid w:val="00795845"/>
    <w:rsid w:val="007B409F"/>
    <w:rsid w:val="007D3638"/>
    <w:rsid w:val="007E52E4"/>
    <w:rsid w:val="00800C51"/>
    <w:rsid w:val="008534EB"/>
    <w:rsid w:val="00883EDA"/>
    <w:rsid w:val="008A6694"/>
    <w:rsid w:val="008B353A"/>
    <w:rsid w:val="008C5D72"/>
    <w:rsid w:val="008F5578"/>
    <w:rsid w:val="008F6FD1"/>
    <w:rsid w:val="009125E9"/>
    <w:rsid w:val="0096666E"/>
    <w:rsid w:val="009908EE"/>
    <w:rsid w:val="009B0C95"/>
    <w:rsid w:val="009C29F0"/>
    <w:rsid w:val="009C5622"/>
    <w:rsid w:val="009D03C2"/>
    <w:rsid w:val="009D25BA"/>
    <w:rsid w:val="009D382A"/>
    <w:rsid w:val="009D4EA6"/>
    <w:rsid w:val="009E6F57"/>
    <w:rsid w:val="009F2315"/>
    <w:rsid w:val="00A3589A"/>
    <w:rsid w:val="00A4587D"/>
    <w:rsid w:val="00A83395"/>
    <w:rsid w:val="00A94D14"/>
    <w:rsid w:val="00AA7841"/>
    <w:rsid w:val="00AB268A"/>
    <w:rsid w:val="00AB62B4"/>
    <w:rsid w:val="00AB633A"/>
    <w:rsid w:val="00AD4F06"/>
    <w:rsid w:val="00AD5A7C"/>
    <w:rsid w:val="00AE27B7"/>
    <w:rsid w:val="00AE77D9"/>
    <w:rsid w:val="00AF3D51"/>
    <w:rsid w:val="00AF58D3"/>
    <w:rsid w:val="00B00B46"/>
    <w:rsid w:val="00B01B20"/>
    <w:rsid w:val="00B12162"/>
    <w:rsid w:val="00B214D0"/>
    <w:rsid w:val="00B23A97"/>
    <w:rsid w:val="00B34A03"/>
    <w:rsid w:val="00B50248"/>
    <w:rsid w:val="00B877C9"/>
    <w:rsid w:val="00B92375"/>
    <w:rsid w:val="00BA7473"/>
    <w:rsid w:val="00BC08F4"/>
    <w:rsid w:val="00BC7D6A"/>
    <w:rsid w:val="00BE2C37"/>
    <w:rsid w:val="00BF0A23"/>
    <w:rsid w:val="00BF2473"/>
    <w:rsid w:val="00C04572"/>
    <w:rsid w:val="00C160C4"/>
    <w:rsid w:val="00C37819"/>
    <w:rsid w:val="00C57476"/>
    <w:rsid w:val="00C7025F"/>
    <w:rsid w:val="00C811EB"/>
    <w:rsid w:val="00C822F4"/>
    <w:rsid w:val="00C92DDA"/>
    <w:rsid w:val="00C96584"/>
    <w:rsid w:val="00CA59F7"/>
    <w:rsid w:val="00CB5EC3"/>
    <w:rsid w:val="00CE2B85"/>
    <w:rsid w:val="00D0425C"/>
    <w:rsid w:val="00D175A9"/>
    <w:rsid w:val="00D3391C"/>
    <w:rsid w:val="00D4714F"/>
    <w:rsid w:val="00D765EC"/>
    <w:rsid w:val="00DA3C0D"/>
    <w:rsid w:val="00DA3D3F"/>
    <w:rsid w:val="00DD7097"/>
    <w:rsid w:val="00DE372D"/>
    <w:rsid w:val="00DE4143"/>
    <w:rsid w:val="00E03452"/>
    <w:rsid w:val="00E2624F"/>
    <w:rsid w:val="00E43FDE"/>
    <w:rsid w:val="00E514A7"/>
    <w:rsid w:val="00E74241"/>
    <w:rsid w:val="00E767D3"/>
    <w:rsid w:val="00EA2AD1"/>
    <w:rsid w:val="00F435C4"/>
    <w:rsid w:val="00F520BB"/>
    <w:rsid w:val="00F65B62"/>
    <w:rsid w:val="00FB1E1F"/>
    <w:rsid w:val="00FC036B"/>
    <w:rsid w:val="00FD258B"/>
    <w:rsid w:val="00FD2E07"/>
    <w:rsid w:val="00FD5538"/>
    <w:rsid w:val="00FE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E2A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7B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7B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182</Words>
  <Characters>1023</Characters>
  <Application>Microsoft Office Word</Application>
  <DocSecurity>0</DocSecurity>
  <Lines>36</Lines>
  <Paragraphs>8</Paragraphs>
  <ScaleCrop>false</ScaleCrop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 Seymour</dc:creator>
  <cp:keywords/>
  <dc:description/>
  <cp:lastModifiedBy>S3G_Reference_Citation_Sequence</cp:lastModifiedBy>
  <cp:revision>7</cp:revision>
  <dcterms:created xsi:type="dcterms:W3CDTF">2019-10-11T22:19:00Z</dcterms:created>
  <dcterms:modified xsi:type="dcterms:W3CDTF">2019-11-10T00:38:00Z</dcterms:modified>
</cp:coreProperties>
</file>