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199" w:rsidRPr="00F97199" w:rsidRDefault="00502FAD" w:rsidP="00F97199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 2:</w:t>
      </w:r>
      <w:r w:rsidR="00F97199">
        <w:rPr>
          <w:rFonts w:ascii="Arial" w:hAnsi="Arial" w:cs="Arial"/>
          <w:b/>
        </w:rPr>
        <w:t xml:space="preserve"> </w:t>
      </w:r>
      <w:r w:rsidR="00F97199" w:rsidRPr="00F97199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</w:t>
      </w:r>
      <w:bookmarkStart w:id="0" w:name="_GoBack"/>
      <w:bookmarkEnd w:id="0"/>
      <w:r w:rsidR="00F97199">
        <w:rPr>
          <w:rFonts w:ascii="Arial" w:hAnsi="Arial" w:cs="Arial"/>
          <w:b/>
        </w:rPr>
        <w:t>2</w:t>
      </w:r>
      <w:r w:rsidR="00F97199" w:rsidRPr="00F97199">
        <w:rPr>
          <w:rFonts w:ascii="Arial" w:hAnsi="Arial" w:cs="Arial"/>
          <w:b/>
        </w:rPr>
        <w:t xml:space="preserve"> Prognostic performance for </w:t>
      </w:r>
      <w:r w:rsidR="00F97199">
        <w:rPr>
          <w:rFonts w:ascii="Arial" w:hAnsi="Arial" w:cs="Arial"/>
          <w:b/>
        </w:rPr>
        <w:t>90</w:t>
      </w:r>
      <w:r w:rsidR="00F97199" w:rsidRPr="00F97199">
        <w:rPr>
          <w:rFonts w:ascii="Arial" w:hAnsi="Arial" w:cs="Arial"/>
          <w:b/>
        </w:rPr>
        <w:t>-day mortality of the 25% SOFA decrease cutoff on day 7 Δ</w:t>
      </w:r>
      <w:r w:rsidR="00F97199" w:rsidRPr="00F97199">
        <w:rPr>
          <w:rFonts w:ascii="Arial" w:hAnsi="Arial" w:cs="Arial"/>
          <w:b/>
          <w:vertAlign w:val="subscript"/>
        </w:rPr>
        <w:t>SOFA</w:t>
      </w:r>
      <w:r w:rsidR="00F97199" w:rsidRPr="00F97199">
        <w:rPr>
          <w:rFonts w:ascii="Arial" w:hAnsi="Arial" w:cs="Arial"/>
          <w:b/>
        </w:rPr>
        <w:t xml:space="preserve"> between the derivation and validation cohorts</w:t>
      </w:r>
    </w:p>
    <w:p w:rsidR="00F97199" w:rsidRPr="00F97199" w:rsidRDefault="00F97199" w:rsidP="00F97199">
      <w:pPr>
        <w:spacing w:line="480" w:lineRule="auto"/>
        <w:rPr>
          <w:rFonts w:ascii="Arial" w:hAnsi="Arial" w:cs="Arial"/>
          <w:b/>
        </w:rPr>
      </w:pPr>
    </w:p>
    <w:tbl>
      <w:tblPr>
        <w:tblStyle w:val="TableGrid"/>
        <w:tblW w:w="11258" w:type="dxa"/>
        <w:tblInd w:w="-1168" w:type="dxa"/>
        <w:tblLook w:val="04A0" w:firstRow="1" w:lastRow="0" w:firstColumn="1" w:lastColumn="0" w:noHBand="0" w:noVBand="1"/>
      </w:tblPr>
      <w:tblGrid>
        <w:gridCol w:w="1668"/>
        <w:gridCol w:w="2164"/>
        <w:gridCol w:w="1676"/>
        <w:gridCol w:w="750"/>
        <w:gridCol w:w="2194"/>
        <w:gridCol w:w="1810"/>
        <w:gridCol w:w="996"/>
      </w:tblGrid>
      <w:tr w:rsidR="00F97199" w:rsidRPr="00F97199" w:rsidTr="00F97199">
        <w:tc>
          <w:tcPr>
            <w:tcW w:w="1668" w:type="dxa"/>
          </w:tcPr>
          <w:p w:rsidR="00F97199" w:rsidRPr="00F97199" w:rsidRDefault="00F97199" w:rsidP="00B72370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3840" w:type="dxa"/>
            <w:gridSpan w:val="2"/>
          </w:tcPr>
          <w:p w:rsidR="00F97199" w:rsidRPr="00F97199" w:rsidRDefault="00F97199" w:rsidP="00B72370">
            <w:pPr>
              <w:spacing w:line="480" w:lineRule="auto"/>
              <w:rPr>
                <w:rFonts w:ascii="Arial" w:hAnsi="Arial" w:cs="Arial"/>
              </w:rPr>
            </w:pPr>
            <w:r w:rsidRPr="00F97199">
              <w:rPr>
                <w:rFonts w:ascii="Arial" w:hAnsi="Arial" w:cs="Arial"/>
              </w:rPr>
              <w:t>Cohort A</w:t>
            </w:r>
          </w:p>
        </w:tc>
        <w:tc>
          <w:tcPr>
            <w:tcW w:w="750" w:type="dxa"/>
          </w:tcPr>
          <w:p w:rsidR="00F97199" w:rsidRPr="00F97199" w:rsidRDefault="00F97199" w:rsidP="00B72370">
            <w:pPr>
              <w:spacing w:line="480" w:lineRule="auto"/>
              <w:rPr>
                <w:rFonts w:ascii="Arial" w:hAnsi="Arial" w:cs="Arial"/>
              </w:rPr>
            </w:pPr>
            <w:r w:rsidRPr="00F97199">
              <w:rPr>
                <w:rFonts w:ascii="Arial" w:hAnsi="Arial" w:cs="Arial"/>
              </w:rPr>
              <w:t>Total</w:t>
            </w:r>
          </w:p>
        </w:tc>
        <w:tc>
          <w:tcPr>
            <w:tcW w:w="4004" w:type="dxa"/>
            <w:gridSpan w:val="2"/>
          </w:tcPr>
          <w:p w:rsidR="00F97199" w:rsidRPr="00F97199" w:rsidRDefault="00F97199" w:rsidP="00B72370">
            <w:pPr>
              <w:spacing w:line="480" w:lineRule="auto"/>
              <w:rPr>
                <w:rFonts w:ascii="Arial" w:hAnsi="Arial" w:cs="Arial"/>
              </w:rPr>
            </w:pPr>
            <w:r w:rsidRPr="00F97199">
              <w:rPr>
                <w:rFonts w:ascii="Arial" w:hAnsi="Arial" w:cs="Arial"/>
              </w:rPr>
              <w:t>Cohort B</w:t>
            </w:r>
          </w:p>
        </w:tc>
        <w:tc>
          <w:tcPr>
            <w:tcW w:w="996" w:type="dxa"/>
          </w:tcPr>
          <w:p w:rsidR="00F97199" w:rsidRPr="00F97199" w:rsidRDefault="00F97199" w:rsidP="00B72370">
            <w:pPr>
              <w:spacing w:line="480" w:lineRule="auto"/>
              <w:rPr>
                <w:rFonts w:ascii="Arial" w:hAnsi="Arial" w:cs="Arial"/>
              </w:rPr>
            </w:pPr>
            <w:r w:rsidRPr="00F97199">
              <w:rPr>
                <w:rFonts w:ascii="Arial" w:hAnsi="Arial" w:cs="Arial"/>
              </w:rPr>
              <w:t>Total</w:t>
            </w:r>
          </w:p>
        </w:tc>
      </w:tr>
      <w:tr w:rsidR="00F97199" w:rsidRPr="00F97199" w:rsidTr="00F97199">
        <w:tc>
          <w:tcPr>
            <w:tcW w:w="1668" w:type="dxa"/>
          </w:tcPr>
          <w:p w:rsidR="00F97199" w:rsidRPr="00F97199" w:rsidRDefault="00F97199" w:rsidP="00B72370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164" w:type="dxa"/>
          </w:tcPr>
          <w:p w:rsidR="00F97199" w:rsidRPr="00F97199" w:rsidRDefault="00F97199" w:rsidP="00B72370">
            <w:pPr>
              <w:spacing w:line="480" w:lineRule="auto"/>
              <w:rPr>
                <w:rFonts w:ascii="Arial" w:hAnsi="Arial" w:cs="Arial"/>
              </w:rPr>
            </w:pPr>
            <w:r w:rsidRPr="00F97199">
              <w:rPr>
                <w:rFonts w:ascii="Arial" w:hAnsi="Arial" w:cs="Arial"/>
              </w:rPr>
              <w:t>Non-survivors (n)</w:t>
            </w:r>
          </w:p>
        </w:tc>
        <w:tc>
          <w:tcPr>
            <w:tcW w:w="1676" w:type="dxa"/>
          </w:tcPr>
          <w:p w:rsidR="00F97199" w:rsidRPr="00F97199" w:rsidRDefault="00F97199" w:rsidP="00B72370">
            <w:pPr>
              <w:spacing w:line="480" w:lineRule="auto"/>
              <w:rPr>
                <w:rFonts w:ascii="Arial" w:hAnsi="Arial" w:cs="Arial"/>
              </w:rPr>
            </w:pPr>
            <w:r w:rsidRPr="00F97199">
              <w:rPr>
                <w:rFonts w:ascii="Arial" w:hAnsi="Arial" w:cs="Arial"/>
              </w:rPr>
              <w:t>Survivors (n)</w:t>
            </w:r>
          </w:p>
        </w:tc>
        <w:tc>
          <w:tcPr>
            <w:tcW w:w="750" w:type="dxa"/>
          </w:tcPr>
          <w:p w:rsidR="00F97199" w:rsidRPr="00F97199" w:rsidRDefault="00F97199" w:rsidP="00B72370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194" w:type="dxa"/>
          </w:tcPr>
          <w:p w:rsidR="00F97199" w:rsidRPr="00F97199" w:rsidRDefault="00F97199" w:rsidP="00B72370">
            <w:pPr>
              <w:spacing w:line="480" w:lineRule="auto"/>
              <w:rPr>
                <w:rFonts w:ascii="Arial" w:hAnsi="Arial" w:cs="Arial"/>
              </w:rPr>
            </w:pPr>
            <w:r w:rsidRPr="00F97199">
              <w:rPr>
                <w:rFonts w:ascii="Arial" w:hAnsi="Arial" w:cs="Arial"/>
              </w:rPr>
              <w:t>Non-survivors (n)</w:t>
            </w:r>
          </w:p>
        </w:tc>
        <w:tc>
          <w:tcPr>
            <w:tcW w:w="1810" w:type="dxa"/>
          </w:tcPr>
          <w:p w:rsidR="00F97199" w:rsidRPr="00F97199" w:rsidRDefault="00F97199" w:rsidP="00B72370">
            <w:pPr>
              <w:spacing w:line="480" w:lineRule="auto"/>
              <w:rPr>
                <w:rFonts w:ascii="Arial" w:hAnsi="Arial" w:cs="Arial"/>
              </w:rPr>
            </w:pPr>
            <w:r w:rsidRPr="00F97199">
              <w:rPr>
                <w:rFonts w:ascii="Arial" w:hAnsi="Arial" w:cs="Arial"/>
              </w:rPr>
              <w:t>Survivors (n)</w:t>
            </w:r>
          </w:p>
        </w:tc>
        <w:tc>
          <w:tcPr>
            <w:tcW w:w="996" w:type="dxa"/>
          </w:tcPr>
          <w:p w:rsidR="00F97199" w:rsidRPr="00F97199" w:rsidRDefault="00F97199" w:rsidP="00B72370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F97199" w:rsidRPr="00F97199" w:rsidTr="00F97199">
        <w:tc>
          <w:tcPr>
            <w:tcW w:w="1668" w:type="dxa"/>
          </w:tcPr>
          <w:p w:rsidR="00F97199" w:rsidRPr="00F97199" w:rsidRDefault="00F97199" w:rsidP="00B72370">
            <w:pPr>
              <w:spacing w:line="480" w:lineRule="auto"/>
              <w:rPr>
                <w:rFonts w:ascii="Arial" w:hAnsi="Arial" w:cs="Arial"/>
              </w:rPr>
            </w:pPr>
            <w:r w:rsidRPr="00F97199">
              <w:rPr>
                <w:rFonts w:ascii="Arial" w:hAnsi="Arial" w:cs="Arial"/>
              </w:rPr>
              <w:sym w:font="Symbol" w:char="F0B3"/>
            </w:r>
            <w:r w:rsidRPr="00F97199">
              <w:rPr>
                <w:rFonts w:ascii="Arial" w:hAnsi="Arial" w:cs="Arial"/>
              </w:rPr>
              <w:t>25% SOFA decrease</w:t>
            </w:r>
          </w:p>
        </w:tc>
        <w:tc>
          <w:tcPr>
            <w:tcW w:w="2164" w:type="dxa"/>
          </w:tcPr>
          <w:p w:rsid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  <w:p w:rsidR="00B47A31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Sens: 76.4%</w:t>
            </w:r>
          </w:p>
          <w:p w:rsidR="00B47A31" w:rsidRP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PPV: 76.9%</w:t>
            </w:r>
          </w:p>
        </w:tc>
        <w:tc>
          <w:tcPr>
            <w:tcW w:w="1676" w:type="dxa"/>
          </w:tcPr>
          <w:p w:rsidR="00F97199" w:rsidRP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750" w:type="dxa"/>
          </w:tcPr>
          <w:p w:rsidR="00F97199" w:rsidRP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</w:t>
            </w:r>
          </w:p>
        </w:tc>
        <w:tc>
          <w:tcPr>
            <w:tcW w:w="2194" w:type="dxa"/>
          </w:tcPr>
          <w:p w:rsid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  <w:p w:rsidR="00B47A31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Sens: 76.6%%</w:t>
            </w:r>
          </w:p>
          <w:p w:rsidR="00B47A31" w:rsidRP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PPV: 65.3%</w:t>
            </w:r>
          </w:p>
        </w:tc>
        <w:tc>
          <w:tcPr>
            <w:tcW w:w="1810" w:type="dxa"/>
          </w:tcPr>
          <w:p w:rsidR="00F97199" w:rsidRP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996" w:type="dxa"/>
          </w:tcPr>
          <w:p w:rsidR="00F97199" w:rsidRP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</w:t>
            </w:r>
          </w:p>
        </w:tc>
      </w:tr>
      <w:tr w:rsidR="00F97199" w:rsidRPr="00F97199" w:rsidTr="00F97199">
        <w:tc>
          <w:tcPr>
            <w:tcW w:w="1668" w:type="dxa"/>
          </w:tcPr>
          <w:p w:rsidR="00F97199" w:rsidRPr="00F97199" w:rsidRDefault="00F97199" w:rsidP="00B72370">
            <w:pPr>
              <w:spacing w:line="480" w:lineRule="auto"/>
              <w:rPr>
                <w:rFonts w:ascii="Arial" w:hAnsi="Arial" w:cs="Arial"/>
              </w:rPr>
            </w:pPr>
            <w:r w:rsidRPr="00F97199">
              <w:rPr>
                <w:rFonts w:ascii="Arial" w:hAnsi="Arial" w:cs="Arial"/>
              </w:rPr>
              <w:t>&lt;25% SOFA decrease</w:t>
            </w:r>
          </w:p>
        </w:tc>
        <w:tc>
          <w:tcPr>
            <w:tcW w:w="2164" w:type="dxa"/>
          </w:tcPr>
          <w:p w:rsidR="00F97199" w:rsidRP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676" w:type="dxa"/>
          </w:tcPr>
          <w:p w:rsid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</w:t>
            </w:r>
          </w:p>
          <w:p w:rsidR="00B47A31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Spec: 81.7%</w:t>
            </w:r>
          </w:p>
          <w:p w:rsidR="00B47A31" w:rsidRP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NPV: 81.2%</w:t>
            </w:r>
          </w:p>
        </w:tc>
        <w:tc>
          <w:tcPr>
            <w:tcW w:w="750" w:type="dxa"/>
          </w:tcPr>
          <w:p w:rsidR="00F97199" w:rsidRP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</w:t>
            </w:r>
          </w:p>
        </w:tc>
        <w:tc>
          <w:tcPr>
            <w:tcW w:w="2194" w:type="dxa"/>
          </w:tcPr>
          <w:p w:rsidR="00F97199" w:rsidRP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1810" w:type="dxa"/>
          </w:tcPr>
          <w:p w:rsid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</w:t>
            </w:r>
          </w:p>
          <w:p w:rsidR="00B47A31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Spec: 74.0%</w:t>
            </w:r>
          </w:p>
          <w:p w:rsidR="00B47A31" w:rsidRP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NPV: 82.4%</w:t>
            </w:r>
          </w:p>
        </w:tc>
        <w:tc>
          <w:tcPr>
            <w:tcW w:w="996" w:type="dxa"/>
          </w:tcPr>
          <w:p w:rsidR="00F97199" w:rsidRP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</w:t>
            </w:r>
          </w:p>
        </w:tc>
      </w:tr>
      <w:tr w:rsidR="00F97199" w:rsidRPr="00F97199" w:rsidTr="00F97199">
        <w:tc>
          <w:tcPr>
            <w:tcW w:w="1668" w:type="dxa"/>
          </w:tcPr>
          <w:p w:rsidR="00F97199" w:rsidRPr="00F97199" w:rsidRDefault="00F97199" w:rsidP="00B72370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164" w:type="dxa"/>
          </w:tcPr>
          <w:p w:rsidR="00F97199" w:rsidRP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</w:p>
        </w:tc>
        <w:tc>
          <w:tcPr>
            <w:tcW w:w="1676" w:type="dxa"/>
          </w:tcPr>
          <w:p w:rsidR="00F97199" w:rsidRP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750" w:type="dxa"/>
          </w:tcPr>
          <w:p w:rsidR="00F97199" w:rsidRPr="00F97199" w:rsidRDefault="00F97199" w:rsidP="00B72370">
            <w:pPr>
              <w:spacing w:line="480" w:lineRule="auto"/>
              <w:rPr>
                <w:rFonts w:ascii="Arial" w:hAnsi="Arial" w:cs="Arial"/>
              </w:rPr>
            </w:pPr>
            <w:r w:rsidRPr="00F97199">
              <w:rPr>
                <w:rFonts w:ascii="Arial" w:hAnsi="Arial" w:cs="Arial"/>
              </w:rPr>
              <w:t>324</w:t>
            </w:r>
          </w:p>
        </w:tc>
        <w:tc>
          <w:tcPr>
            <w:tcW w:w="2194" w:type="dxa"/>
          </w:tcPr>
          <w:p w:rsidR="00F97199" w:rsidRPr="00F97199" w:rsidRDefault="00B47A31" w:rsidP="00B7237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</w:t>
            </w:r>
          </w:p>
        </w:tc>
        <w:tc>
          <w:tcPr>
            <w:tcW w:w="1810" w:type="dxa"/>
          </w:tcPr>
          <w:p w:rsidR="00F97199" w:rsidRPr="00F97199" w:rsidRDefault="00F97199" w:rsidP="00B72370">
            <w:pPr>
              <w:spacing w:line="480" w:lineRule="auto"/>
              <w:rPr>
                <w:rFonts w:ascii="Arial" w:hAnsi="Arial" w:cs="Arial"/>
              </w:rPr>
            </w:pPr>
            <w:r w:rsidRPr="00F97199">
              <w:rPr>
                <w:rFonts w:ascii="Arial" w:hAnsi="Arial" w:cs="Arial"/>
              </w:rPr>
              <w:t>248</w:t>
            </w:r>
          </w:p>
        </w:tc>
        <w:tc>
          <w:tcPr>
            <w:tcW w:w="996" w:type="dxa"/>
          </w:tcPr>
          <w:p w:rsidR="00F97199" w:rsidRPr="00F97199" w:rsidRDefault="00F97199" w:rsidP="00B72370">
            <w:pPr>
              <w:spacing w:line="480" w:lineRule="auto"/>
              <w:rPr>
                <w:rFonts w:ascii="Arial" w:hAnsi="Arial" w:cs="Arial"/>
              </w:rPr>
            </w:pPr>
            <w:r w:rsidRPr="00F97199">
              <w:rPr>
                <w:rFonts w:ascii="Arial" w:hAnsi="Arial" w:cs="Arial"/>
              </w:rPr>
              <w:t>323</w:t>
            </w:r>
          </w:p>
        </w:tc>
      </w:tr>
    </w:tbl>
    <w:p w:rsidR="003D25AB" w:rsidRDefault="003D25AB"/>
    <w:p w:rsidR="00F97199" w:rsidRPr="0028556E" w:rsidRDefault="00F97199" w:rsidP="00F97199">
      <w:pPr>
        <w:spacing w:line="480" w:lineRule="auto"/>
        <w:rPr>
          <w:rFonts w:ascii="Arial" w:hAnsi="Arial" w:cs="Arial"/>
        </w:rPr>
      </w:pPr>
      <w:r w:rsidRPr="00114004">
        <w:rPr>
          <w:rFonts w:ascii="Arial" w:hAnsi="Arial" w:cs="Arial"/>
          <w:u w:val="single"/>
        </w:rPr>
        <w:t>Abbreviations</w:t>
      </w:r>
      <w:r>
        <w:rPr>
          <w:rFonts w:ascii="Arial" w:hAnsi="Arial" w:cs="Arial"/>
        </w:rPr>
        <w:t>: NPV: Negative predictive value; PPV: positive predictive value; Sens: sensitivity; Spec: specificity</w:t>
      </w:r>
    </w:p>
    <w:p w:rsidR="00F97199" w:rsidRDefault="00F97199"/>
    <w:sectPr w:rsidR="00F971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199"/>
    <w:rsid w:val="003D25AB"/>
    <w:rsid w:val="00502FAD"/>
    <w:rsid w:val="00B47A31"/>
    <w:rsid w:val="00F9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199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7199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199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7199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Evangelos</dc:creator>
  <cp:lastModifiedBy>Evangelos</cp:lastModifiedBy>
  <cp:revision>3</cp:revision>
  <dcterms:created xsi:type="dcterms:W3CDTF">2019-09-13T03:40:00Z</dcterms:created>
  <dcterms:modified xsi:type="dcterms:W3CDTF">2019-11-16T08:27:00Z</dcterms:modified>
</cp:coreProperties>
</file>