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09" w:type="dxa"/>
        <w:tblInd w:w="-459" w:type="dxa"/>
        <w:tblLayout w:type="fixed"/>
        <w:tblLook w:val="04A0" w:firstRow="1" w:lastRow="0" w:firstColumn="1" w:lastColumn="0" w:noHBand="0" w:noVBand="1"/>
      </w:tblPr>
      <w:tblGrid>
        <w:gridCol w:w="1843"/>
        <w:gridCol w:w="1914"/>
        <w:gridCol w:w="1722"/>
        <w:gridCol w:w="2472"/>
        <w:gridCol w:w="6760"/>
        <w:gridCol w:w="598"/>
      </w:tblGrid>
      <w:tr w:rsidR="008306DF" w:rsidRPr="008306DF" w:rsidTr="008306DF">
        <w:trPr>
          <w:gridAfter w:val="1"/>
          <w:wAfter w:w="598" w:type="dxa"/>
          <w:trHeight w:val="800"/>
        </w:trPr>
        <w:tc>
          <w:tcPr>
            <w:tcW w:w="14711" w:type="dxa"/>
            <w:gridSpan w:val="5"/>
            <w:tcBorders>
              <w:bottom w:val="single" w:sz="4" w:space="0" w:color="auto"/>
            </w:tcBorders>
            <w:shd w:val="clear" w:color="auto" w:fill="auto"/>
            <w:noWrap/>
            <w:vAlign w:val="bottom"/>
          </w:tcPr>
          <w:p w:rsidR="008306DF" w:rsidRPr="008306DF" w:rsidRDefault="00975B2A" w:rsidP="00D6595B">
            <w:pPr>
              <w:spacing w:before="120" w:after="120"/>
              <w:rPr>
                <w:rFonts w:ascii="Arial" w:eastAsia="Times New Roman" w:hAnsi="Arial" w:cs="Arial"/>
                <w:b/>
                <w:bCs/>
                <w:color w:val="000000"/>
                <w:sz w:val="20"/>
                <w:szCs w:val="20"/>
              </w:rPr>
            </w:pPr>
            <w:r>
              <w:rPr>
                <w:rFonts w:ascii="Arial" w:hAnsi="Arial" w:cs="Arial"/>
                <w:b/>
                <w:sz w:val="18"/>
                <w:szCs w:val="18"/>
              </w:rPr>
              <w:t>Supplemental table 1</w:t>
            </w:r>
            <w:bookmarkStart w:id="0" w:name="_GoBack"/>
            <w:bookmarkEnd w:id="0"/>
            <w:r w:rsidR="008306DF" w:rsidRPr="008306DF">
              <w:rPr>
                <w:rFonts w:ascii="Arial" w:hAnsi="Arial" w:cs="Arial"/>
                <w:b/>
                <w:sz w:val="18"/>
                <w:szCs w:val="18"/>
              </w:rPr>
              <w:t xml:space="preserve">. </w:t>
            </w:r>
            <w:r w:rsidR="008306DF" w:rsidRPr="00D6595B">
              <w:rPr>
                <w:rFonts w:ascii="Arial" w:hAnsi="Arial" w:cs="Arial"/>
                <w:sz w:val="18"/>
                <w:szCs w:val="18"/>
              </w:rPr>
              <w:t>Main findings per study</w:t>
            </w:r>
          </w:p>
        </w:tc>
      </w:tr>
      <w:tr w:rsidR="008306DF" w:rsidRPr="008306DF"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rPr>
                <w:rFonts w:ascii="Arial" w:eastAsia="Times New Roman" w:hAnsi="Arial" w:cs="Arial"/>
                <w:b/>
                <w:bCs/>
                <w:color w:val="000000"/>
                <w:sz w:val="18"/>
                <w:szCs w:val="18"/>
              </w:rPr>
            </w:pPr>
            <w:r w:rsidRPr="008306DF">
              <w:rPr>
                <w:rFonts w:ascii="Arial" w:eastAsia="Times New Roman" w:hAnsi="Arial" w:cs="Arial"/>
                <w:b/>
                <w:bCs/>
                <w:color w:val="000000"/>
                <w:sz w:val="18"/>
                <w:szCs w:val="18"/>
              </w:rPr>
              <w:t>Study</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jc w:val="center"/>
              <w:rPr>
                <w:rFonts w:ascii="Arial" w:eastAsia="Times New Roman" w:hAnsi="Arial" w:cs="Arial"/>
                <w:b/>
                <w:bCs/>
                <w:color w:val="000000"/>
                <w:sz w:val="18"/>
                <w:szCs w:val="18"/>
              </w:rPr>
            </w:pPr>
            <w:r w:rsidRPr="008306DF">
              <w:rPr>
                <w:rFonts w:ascii="Arial" w:eastAsia="Times New Roman" w:hAnsi="Arial" w:cs="Arial"/>
                <w:b/>
                <w:bCs/>
                <w:color w:val="000000"/>
                <w:sz w:val="18"/>
                <w:szCs w:val="18"/>
              </w:rPr>
              <w:t>Type of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jc w:val="center"/>
              <w:rPr>
                <w:rFonts w:ascii="Arial" w:eastAsia="Times New Roman" w:hAnsi="Arial" w:cs="Arial"/>
                <w:b/>
                <w:bCs/>
                <w:color w:val="000000"/>
                <w:sz w:val="18"/>
                <w:szCs w:val="18"/>
              </w:rPr>
            </w:pPr>
            <w:r w:rsidRPr="008306DF">
              <w:rPr>
                <w:rFonts w:ascii="Arial" w:eastAsia="Times New Roman" w:hAnsi="Arial" w:cs="Arial"/>
                <w:b/>
                <w:bCs/>
                <w:color w:val="000000"/>
                <w:sz w:val="18"/>
                <w:szCs w:val="18"/>
              </w:rPr>
              <w:t>Imaging technique</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jc w:val="center"/>
              <w:rPr>
                <w:rFonts w:ascii="Arial" w:eastAsia="Times New Roman" w:hAnsi="Arial" w:cs="Arial"/>
                <w:b/>
                <w:bCs/>
                <w:color w:val="000000"/>
                <w:sz w:val="18"/>
                <w:szCs w:val="18"/>
              </w:rPr>
            </w:pPr>
            <w:r w:rsidRPr="008306DF">
              <w:rPr>
                <w:rFonts w:ascii="Arial" w:eastAsia="Times New Roman" w:hAnsi="Arial" w:cs="Arial"/>
                <w:b/>
                <w:bCs/>
                <w:color w:val="000000"/>
                <w:sz w:val="18"/>
                <w:szCs w:val="18"/>
              </w:rPr>
              <w:t>Endpoints</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jc w:val="center"/>
              <w:rPr>
                <w:rFonts w:ascii="Arial" w:eastAsia="Times New Roman" w:hAnsi="Arial" w:cs="Arial"/>
                <w:b/>
                <w:bCs/>
                <w:color w:val="000000"/>
                <w:sz w:val="18"/>
                <w:szCs w:val="18"/>
              </w:rPr>
            </w:pPr>
            <w:r w:rsidRPr="008306DF">
              <w:rPr>
                <w:rFonts w:ascii="Arial" w:eastAsia="Times New Roman" w:hAnsi="Arial" w:cs="Arial"/>
                <w:b/>
                <w:bCs/>
                <w:color w:val="000000"/>
                <w:sz w:val="18"/>
                <w:szCs w:val="18"/>
              </w:rPr>
              <w:t>Main finding</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Atasever</w:t>
            </w:r>
            <w:proofErr w:type="spellEnd"/>
            <w:r w:rsidRPr="008306DF">
              <w:rPr>
                <w:rFonts w:ascii="Arial" w:eastAsia="Times New Roman" w:hAnsi="Arial" w:cs="Arial"/>
                <w:color w:val="000000"/>
                <w:sz w:val="18"/>
                <w:szCs w:val="18"/>
              </w:rPr>
              <w:t xml:space="preserve"> 2011</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C03082">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FCD, EV, uHbO2</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On-pump and off-pump cardiac surgery are associated with distinct alterations in sublingual microcirculatory perfusion and </w:t>
            </w:r>
            <w:proofErr w:type="spellStart"/>
            <w:r w:rsidRPr="008306DF">
              <w:rPr>
                <w:rFonts w:ascii="Arial" w:eastAsia="Times New Roman" w:hAnsi="Arial" w:cs="Arial"/>
                <w:color w:val="000000"/>
                <w:sz w:val="18"/>
                <w:szCs w:val="18"/>
              </w:rPr>
              <w:t>hemobglobin</w:t>
            </w:r>
            <w:proofErr w:type="spellEnd"/>
            <w:r w:rsidRPr="008306DF">
              <w:rPr>
                <w:rFonts w:ascii="Arial" w:eastAsia="Times New Roman" w:hAnsi="Arial" w:cs="Arial"/>
                <w:color w:val="000000"/>
                <w:sz w:val="18"/>
                <w:szCs w:val="18"/>
              </w:rPr>
              <w:t xml:space="preserve"> oxygenation.</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r w:rsidRPr="008306DF">
              <w:rPr>
                <w:rFonts w:ascii="Arial" w:eastAsia="Times New Roman" w:hAnsi="Arial" w:cs="Arial"/>
                <w:color w:val="000000"/>
                <w:sz w:val="18"/>
                <w:szCs w:val="18"/>
              </w:rPr>
              <w:t>Bauer 2007</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OPS</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FCD, EV, MD</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Orthogonal polarization spectral imaging revealed no major changes of microvascular perfusion during uncomplicated hypothermic CPB.</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Bienz</w:t>
            </w:r>
            <w:proofErr w:type="spellEnd"/>
            <w:r w:rsidRPr="008306DF">
              <w:rPr>
                <w:rFonts w:ascii="Arial" w:eastAsia="Times New Roman" w:hAnsi="Arial" w:cs="Arial"/>
                <w:color w:val="000000"/>
                <w:sz w:val="18"/>
                <w:szCs w:val="18"/>
              </w:rPr>
              <w:t xml:space="preserve"> 2016</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TVD, PVD, SVD</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The results do not show a marked preservation of the microcirculation during and after OPCABG compared to ONCABG. As fluctuations in the microvascular parameters coincide with temperature fluctuations this might be a confounding factor.</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r w:rsidRPr="008306DF">
              <w:rPr>
                <w:rFonts w:ascii="Arial" w:eastAsia="Times New Roman" w:hAnsi="Arial" w:cs="Arial"/>
                <w:color w:val="000000"/>
                <w:sz w:val="18"/>
                <w:szCs w:val="18"/>
              </w:rPr>
              <w:t>De Backer 2009</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OPS</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VD, PVD, PPV</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Microcirculatory alterations are observed in cardiac surgery patients whether or not CPB is used. Anesthesia contributes to these alterations, but its effects are transient.</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r w:rsidRPr="008306DF">
              <w:rPr>
                <w:rFonts w:ascii="Arial" w:eastAsia="Times New Roman" w:hAnsi="Arial" w:cs="Arial"/>
                <w:color w:val="000000"/>
                <w:sz w:val="18"/>
                <w:szCs w:val="18"/>
              </w:rPr>
              <w:t>Dekker 2019</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PVD, PPV, PBR, plasma </w:t>
            </w:r>
            <w:proofErr w:type="spellStart"/>
            <w:r w:rsidRPr="008306DF">
              <w:rPr>
                <w:rFonts w:ascii="Arial" w:eastAsia="Times New Roman" w:hAnsi="Arial" w:cs="Arial"/>
                <w:color w:val="000000"/>
                <w:sz w:val="18"/>
                <w:szCs w:val="18"/>
              </w:rPr>
              <w:t>heparan</w:t>
            </w:r>
            <w:proofErr w:type="spellEnd"/>
            <w:r w:rsidRPr="008306DF">
              <w:rPr>
                <w:rFonts w:ascii="Arial" w:eastAsia="Times New Roman" w:hAnsi="Arial" w:cs="Arial"/>
                <w:color w:val="000000"/>
                <w:sz w:val="18"/>
                <w:szCs w:val="18"/>
              </w:rPr>
              <w:t xml:space="preserve"> </w:t>
            </w:r>
            <w:proofErr w:type="spellStart"/>
            <w:r w:rsidRPr="008306DF">
              <w:rPr>
                <w:rFonts w:ascii="Arial" w:eastAsia="Times New Roman" w:hAnsi="Arial" w:cs="Arial"/>
                <w:color w:val="000000"/>
                <w:sz w:val="18"/>
                <w:szCs w:val="18"/>
              </w:rPr>
              <w:t>sulphate</w:t>
            </w:r>
            <w:proofErr w:type="spellEnd"/>
            <w:r w:rsidRPr="008306DF">
              <w:rPr>
                <w:rFonts w:ascii="Arial" w:eastAsia="Times New Roman" w:hAnsi="Arial" w:cs="Arial"/>
                <w:color w:val="000000"/>
                <w:sz w:val="18"/>
                <w:szCs w:val="18"/>
              </w:rPr>
              <w:t>, plasma syndecan-1</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353A6F" w:rsidP="00353A6F">
            <w:pPr>
              <w:rPr>
                <w:rFonts w:ascii="Arial" w:eastAsia="Times New Roman" w:hAnsi="Arial" w:cs="Arial"/>
                <w:color w:val="000000"/>
                <w:sz w:val="18"/>
                <w:szCs w:val="18"/>
              </w:rPr>
            </w:pPr>
            <w:r>
              <w:rPr>
                <w:rFonts w:ascii="Arial" w:eastAsia="Times New Roman" w:hAnsi="Arial" w:cs="Arial"/>
                <w:color w:val="000000"/>
                <w:sz w:val="18"/>
                <w:szCs w:val="18"/>
              </w:rPr>
              <w:t>Cardio</w:t>
            </w:r>
            <w:r w:rsidR="008306DF" w:rsidRPr="008306DF">
              <w:rPr>
                <w:rFonts w:ascii="Arial" w:eastAsia="Times New Roman" w:hAnsi="Arial" w:cs="Arial"/>
                <w:color w:val="000000"/>
                <w:sz w:val="18"/>
                <w:szCs w:val="18"/>
              </w:rPr>
              <w:t>pul</w:t>
            </w:r>
            <w:r>
              <w:rPr>
                <w:rFonts w:ascii="Arial" w:eastAsia="Times New Roman" w:hAnsi="Arial" w:cs="Arial"/>
                <w:color w:val="000000"/>
                <w:sz w:val="18"/>
                <w:szCs w:val="18"/>
              </w:rPr>
              <w:t>monary bypass-induced acute mic</w:t>
            </w:r>
            <w:r w:rsidR="008306DF" w:rsidRPr="008306DF">
              <w:rPr>
                <w:rFonts w:ascii="Arial" w:eastAsia="Times New Roman" w:hAnsi="Arial" w:cs="Arial"/>
                <w:color w:val="000000"/>
                <w:sz w:val="18"/>
                <w:szCs w:val="18"/>
              </w:rPr>
              <w:t>r</w:t>
            </w:r>
            <w:r>
              <w:rPr>
                <w:rFonts w:ascii="Arial" w:eastAsia="Times New Roman" w:hAnsi="Arial" w:cs="Arial"/>
                <w:color w:val="000000"/>
                <w:sz w:val="18"/>
                <w:szCs w:val="18"/>
              </w:rPr>
              <w:t>o</w:t>
            </w:r>
            <w:r w:rsidR="008306DF" w:rsidRPr="008306DF">
              <w:rPr>
                <w:rFonts w:ascii="Arial" w:eastAsia="Times New Roman" w:hAnsi="Arial" w:cs="Arial"/>
                <w:color w:val="000000"/>
                <w:sz w:val="18"/>
                <w:szCs w:val="18"/>
              </w:rPr>
              <w:t>circulatory perfusion disturbances persist in the first three postoperative days, and are associated with prolonged endothelial glycocalyx shedding.</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Den </w:t>
            </w:r>
            <w:proofErr w:type="spellStart"/>
            <w:r w:rsidRPr="008306DF">
              <w:rPr>
                <w:rFonts w:ascii="Arial" w:eastAsia="Times New Roman" w:hAnsi="Arial" w:cs="Arial"/>
                <w:color w:val="000000"/>
                <w:sz w:val="18"/>
                <w:szCs w:val="18"/>
              </w:rPr>
              <w:t>Uil</w:t>
            </w:r>
            <w:proofErr w:type="spellEnd"/>
            <w:r w:rsidRPr="008306DF">
              <w:rPr>
                <w:rFonts w:ascii="Arial" w:eastAsia="Times New Roman" w:hAnsi="Arial" w:cs="Arial"/>
                <w:color w:val="000000"/>
                <w:sz w:val="18"/>
                <w:szCs w:val="18"/>
              </w:rPr>
              <w:t xml:space="preserve"> 2008</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MFI</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Median microvascular flow index of medium vessels decreased after starting CPB. Decreases in microvascular flow index occurred irrespective of changes in systemic blood pressure. After each patient's return to the ICU, microvascular flow index increased and normalized in all </w:t>
            </w:r>
            <w:proofErr w:type="spellStart"/>
            <w:r w:rsidRPr="008306DF">
              <w:rPr>
                <w:rFonts w:ascii="Arial" w:eastAsia="Times New Roman" w:hAnsi="Arial" w:cs="Arial"/>
                <w:color w:val="000000"/>
                <w:sz w:val="18"/>
                <w:szCs w:val="18"/>
              </w:rPr>
              <w:t>microvessels</w:t>
            </w:r>
            <w:proofErr w:type="spellEnd"/>
            <w:r w:rsidRPr="008306DF">
              <w:rPr>
                <w:rFonts w:ascii="Arial" w:eastAsia="Times New Roman" w:hAnsi="Arial" w:cs="Arial"/>
                <w:color w:val="000000"/>
                <w:sz w:val="18"/>
                <w:szCs w:val="18"/>
              </w:rPr>
              <w:t>.</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Donndorf</w:t>
            </w:r>
            <w:proofErr w:type="spellEnd"/>
            <w:r w:rsidRPr="008306DF">
              <w:rPr>
                <w:rFonts w:ascii="Arial" w:eastAsia="Times New Roman" w:hAnsi="Arial" w:cs="Arial"/>
                <w:color w:val="000000"/>
                <w:sz w:val="18"/>
                <w:szCs w:val="18"/>
              </w:rPr>
              <w:t xml:space="preserve"> 2012</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OPS</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FCD, EV, MD</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Orthogonal polarization spectral imaging data reveal an impairment of microvascular perfusion during on-pump CABG. Changes in FCD indicate a faster re</w:t>
            </w:r>
            <w:r w:rsidR="00353A6F">
              <w:rPr>
                <w:rFonts w:ascii="Arial" w:eastAsia="Times New Roman" w:hAnsi="Arial" w:cs="Arial"/>
                <w:color w:val="000000"/>
                <w:sz w:val="18"/>
                <w:szCs w:val="18"/>
              </w:rPr>
              <w:t>c</w:t>
            </w:r>
            <w:r w:rsidRPr="008306DF">
              <w:rPr>
                <w:rFonts w:ascii="Arial" w:eastAsia="Times New Roman" w:hAnsi="Arial" w:cs="Arial"/>
                <w:color w:val="000000"/>
                <w:sz w:val="18"/>
                <w:szCs w:val="18"/>
              </w:rPr>
              <w:t>overy of the microvascular perfusion in MECC during the reperfusion period.</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Donndorf</w:t>
            </w:r>
            <w:proofErr w:type="spellEnd"/>
            <w:r w:rsidRPr="008306DF">
              <w:rPr>
                <w:rFonts w:ascii="Arial" w:eastAsia="Times New Roman" w:hAnsi="Arial" w:cs="Arial"/>
                <w:color w:val="000000"/>
                <w:sz w:val="18"/>
                <w:szCs w:val="18"/>
              </w:rPr>
              <w:t xml:space="preserve"> 2014</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OPS</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FCD, EV, MD</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The use of MECC in AVR did not affect procedural safety and resulted in beneficial preservation of microvascular blood flow velocity and significantly reduced haemodilution during CPB. In contrast to CABG surgery, the use of MECC did not improve FCD during surgical AVR.</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Holmgaard</w:t>
            </w:r>
            <w:proofErr w:type="spellEnd"/>
            <w:r w:rsidRPr="008306DF">
              <w:rPr>
                <w:rFonts w:ascii="Arial" w:eastAsia="Times New Roman" w:hAnsi="Arial" w:cs="Arial"/>
                <w:color w:val="000000"/>
                <w:sz w:val="18"/>
                <w:szCs w:val="18"/>
              </w:rPr>
              <w:t xml:space="preserve"> 2018</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TVD, MFI, PVD, PPV, HI</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We found no significant difference in sublingual microcirculatory flow expressed as MFI according to 2 different levels of MAP during CPB.</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lastRenderedPageBreak/>
              <w:t>Koning</w:t>
            </w:r>
            <w:proofErr w:type="spellEnd"/>
            <w:r w:rsidRPr="008306DF">
              <w:rPr>
                <w:rFonts w:ascii="Arial" w:eastAsia="Times New Roman" w:hAnsi="Arial" w:cs="Arial"/>
                <w:color w:val="000000"/>
                <w:sz w:val="18"/>
                <w:szCs w:val="18"/>
              </w:rPr>
              <w:t xml:space="preserve"> 2012</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TVD, MFI, PVD</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Pulsatile cardiopulmonary bypass preserves microcirculatory perfusion throughout the early postoperative period, irrespective of systemic hemodynamics.</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Koning</w:t>
            </w:r>
            <w:proofErr w:type="spellEnd"/>
            <w:r w:rsidRPr="008306DF">
              <w:rPr>
                <w:rFonts w:ascii="Arial" w:eastAsia="Times New Roman" w:hAnsi="Arial" w:cs="Arial"/>
                <w:color w:val="000000"/>
                <w:sz w:val="18"/>
                <w:szCs w:val="18"/>
              </w:rPr>
              <w:t xml:space="preserve"> 2013</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TVD, MFI, PVD</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Microcirculatory perfusion remained unaltered t</w:t>
            </w:r>
            <w:r w:rsidR="00353A6F">
              <w:rPr>
                <w:rFonts w:ascii="Arial" w:eastAsia="Times New Roman" w:hAnsi="Arial" w:cs="Arial"/>
                <w:color w:val="000000"/>
                <w:sz w:val="18"/>
                <w:szCs w:val="18"/>
              </w:rPr>
              <w:t>h</w:t>
            </w:r>
            <w:r w:rsidRPr="008306DF">
              <w:rPr>
                <w:rFonts w:ascii="Arial" w:eastAsia="Times New Roman" w:hAnsi="Arial" w:cs="Arial"/>
                <w:color w:val="000000"/>
                <w:sz w:val="18"/>
                <w:szCs w:val="18"/>
              </w:rPr>
              <w:t>roughout off-pump surgery. In contract, microvascular perfusion declined after initiation of cardiopulmonary bypass and did not recover in the early postoperative phase.</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Koning</w:t>
            </w:r>
            <w:proofErr w:type="spellEnd"/>
            <w:r w:rsidRPr="008306DF">
              <w:rPr>
                <w:rFonts w:ascii="Arial" w:eastAsia="Times New Roman" w:hAnsi="Arial" w:cs="Arial"/>
                <w:color w:val="000000"/>
                <w:sz w:val="18"/>
                <w:szCs w:val="18"/>
              </w:rPr>
              <w:t xml:space="preserve"> 2014</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MFI, EV, HI</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The current study provides the first direct human evidence for a microvascular shunting phenomenon through </w:t>
            </w:r>
            <w:proofErr w:type="spellStart"/>
            <w:r w:rsidRPr="008306DF">
              <w:rPr>
                <w:rFonts w:ascii="Arial" w:eastAsia="Times New Roman" w:hAnsi="Arial" w:cs="Arial"/>
                <w:color w:val="000000"/>
                <w:sz w:val="18"/>
                <w:szCs w:val="18"/>
              </w:rPr>
              <w:t>hyperdynamic</w:t>
            </w:r>
            <w:proofErr w:type="spellEnd"/>
            <w:r w:rsidRPr="008306DF">
              <w:rPr>
                <w:rFonts w:ascii="Arial" w:eastAsia="Times New Roman" w:hAnsi="Arial" w:cs="Arial"/>
                <w:color w:val="000000"/>
                <w:sz w:val="18"/>
                <w:szCs w:val="18"/>
              </w:rPr>
              <w:t xml:space="preserve"> capillaries following acute physiological disturbances after onset of CPB.</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Koning</w:t>
            </w:r>
            <w:proofErr w:type="spellEnd"/>
            <w:r w:rsidRPr="008306DF">
              <w:rPr>
                <w:rFonts w:ascii="Arial" w:eastAsia="Times New Roman" w:hAnsi="Arial" w:cs="Arial"/>
                <w:color w:val="000000"/>
                <w:sz w:val="18"/>
                <w:szCs w:val="18"/>
              </w:rPr>
              <w:t xml:space="preserve"> 2015</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PVD, PBR</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Endothelial glycocalyx dimensions decrease after onset of CPB and are closel</w:t>
            </w:r>
            <w:r w:rsidR="00353A6F">
              <w:rPr>
                <w:rFonts w:ascii="Arial" w:eastAsia="Times New Roman" w:hAnsi="Arial" w:cs="Arial"/>
                <w:color w:val="000000"/>
                <w:sz w:val="18"/>
                <w:szCs w:val="18"/>
              </w:rPr>
              <w:t>y related to microvascular perf</w:t>
            </w:r>
            <w:r w:rsidRPr="008306DF">
              <w:rPr>
                <w:rFonts w:ascii="Arial" w:eastAsia="Times New Roman" w:hAnsi="Arial" w:cs="Arial"/>
                <w:color w:val="000000"/>
                <w:sz w:val="18"/>
                <w:szCs w:val="18"/>
              </w:rPr>
              <w:t>u</w:t>
            </w:r>
            <w:r w:rsidR="00353A6F">
              <w:rPr>
                <w:rFonts w:ascii="Arial" w:eastAsia="Times New Roman" w:hAnsi="Arial" w:cs="Arial"/>
                <w:color w:val="000000"/>
                <w:sz w:val="18"/>
                <w:szCs w:val="18"/>
              </w:rPr>
              <w:t>s</w:t>
            </w:r>
            <w:r w:rsidRPr="008306DF">
              <w:rPr>
                <w:rFonts w:ascii="Arial" w:eastAsia="Times New Roman" w:hAnsi="Arial" w:cs="Arial"/>
                <w:color w:val="000000"/>
                <w:sz w:val="18"/>
                <w:szCs w:val="18"/>
              </w:rPr>
              <w:t>ion when assessed with a novel, noninvasive technique.</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r w:rsidRPr="008306DF">
              <w:rPr>
                <w:rFonts w:ascii="Arial" w:eastAsia="Times New Roman" w:hAnsi="Arial" w:cs="Arial"/>
                <w:color w:val="000000"/>
                <w:sz w:val="18"/>
                <w:szCs w:val="18"/>
              </w:rPr>
              <w:t>Mohamed 2018</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TVD, MFI, PVD, PPV</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This trial demonstrated that </w:t>
            </w:r>
            <w:proofErr w:type="spellStart"/>
            <w:r w:rsidRPr="008306DF">
              <w:rPr>
                <w:rFonts w:ascii="Arial" w:eastAsia="Times New Roman" w:hAnsi="Arial" w:cs="Arial"/>
                <w:color w:val="000000"/>
                <w:sz w:val="18"/>
                <w:szCs w:val="18"/>
              </w:rPr>
              <w:t>dexmedetomidine</w:t>
            </w:r>
            <w:proofErr w:type="spellEnd"/>
            <w:r w:rsidRPr="008306DF">
              <w:rPr>
                <w:rFonts w:ascii="Arial" w:eastAsia="Times New Roman" w:hAnsi="Arial" w:cs="Arial"/>
                <w:color w:val="000000"/>
                <w:sz w:val="18"/>
                <w:szCs w:val="18"/>
              </w:rPr>
              <w:t xml:space="preserve"> infusion improved sublingual microcirculation indices in patients undergoing on-pump CABG surgery.</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r w:rsidRPr="008306DF">
              <w:rPr>
                <w:rFonts w:ascii="Arial" w:eastAsia="Times New Roman" w:hAnsi="Arial" w:cs="Arial"/>
                <w:color w:val="000000"/>
                <w:sz w:val="18"/>
                <w:szCs w:val="18"/>
              </w:rPr>
              <w:t>O'Neil 2012</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OPS</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PPV</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Pulsatile perfusion is superior to </w:t>
            </w:r>
            <w:proofErr w:type="spellStart"/>
            <w:r w:rsidRPr="008306DF">
              <w:rPr>
                <w:rFonts w:ascii="Arial" w:eastAsia="Times New Roman" w:hAnsi="Arial" w:cs="Arial"/>
                <w:color w:val="000000"/>
                <w:sz w:val="18"/>
                <w:szCs w:val="18"/>
              </w:rPr>
              <w:t>nonpulsatile</w:t>
            </w:r>
            <w:proofErr w:type="spellEnd"/>
            <w:r w:rsidRPr="008306DF">
              <w:rPr>
                <w:rFonts w:ascii="Arial" w:eastAsia="Times New Roman" w:hAnsi="Arial" w:cs="Arial"/>
                <w:color w:val="000000"/>
                <w:sz w:val="18"/>
                <w:szCs w:val="18"/>
              </w:rPr>
              <w:t xml:space="preserve"> perfusion at preserving the microcirculation.</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r w:rsidRPr="008306DF">
              <w:rPr>
                <w:rFonts w:ascii="Arial" w:eastAsia="Times New Roman" w:hAnsi="Arial" w:cs="Arial"/>
                <w:color w:val="000000"/>
                <w:sz w:val="18"/>
                <w:szCs w:val="18"/>
              </w:rPr>
              <w:t>O'Neil 2018</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OPS</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PPV</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Pulsatility</w:t>
            </w:r>
            <w:proofErr w:type="spellEnd"/>
            <w:r w:rsidRPr="008306DF">
              <w:rPr>
                <w:rFonts w:ascii="Arial" w:eastAsia="Times New Roman" w:hAnsi="Arial" w:cs="Arial"/>
                <w:color w:val="000000"/>
                <w:sz w:val="18"/>
                <w:szCs w:val="18"/>
              </w:rPr>
              <w:t xml:space="preserve"> generated by the roll</w:t>
            </w:r>
            <w:r w:rsidR="00353A6F">
              <w:rPr>
                <w:rFonts w:ascii="Arial" w:eastAsia="Times New Roman" w:hAnsi="Arial" w:cs="Arial"/>
                <w:color w:val="000000"/>
                <w:sz w:val="18"/>
                <w:szCs w:val="18"/>
              </w:rPr>
              <w:t>er pump during CPB improves mic</w:t>
            </w:r>
            <w:r w:rsidRPr="008306DF">
              <w:rPr>
                <w:rFonts w:ascii="Arial" w:eastAsia="Times New Roman" w:hAnsi="Arial" w:cs="Arial"/>
                <w:color w:val="000000"/>
                <w:sz w:val="18"/>
                <w:szCs w:val="18"/>
              </w:rPr>
              <w:t>r</w:t>
            </w:r>
            <w:r w:rsidR="00353A6F">
              <w:rPr>
                <w:rFonts w:ascii="Arial" w:eastAsia="Times New Roman" w:hAnsi="Arial" w:cs="Arial"/>
                <w:color w:val="000000"/>
                <w:sz w:val="18"/>
                <w:szCs w:val="18"/>
              </w:rPr>
              <w:t>o</w:t>
            </w:r>
            <w:r w:rsidRPr="008306DF">
              <w:rPr>
                <w:rFonts w:ascii="Arial" w:eastAsia="Times New Roman" w:hAnsi="Arial" w:cs="Arial"/>
                <w:color w:val="000000"/>
                <w:sz w:val="18"/>
                <w:szCs w:val="18"/>
              </w:rPr>
              <w:t xml:space="preserve">circulatory blood flow and tissue oxygen saturation compared with </w:t>
            </w:r>
            <w:proofErr w:type="spellStart"/>
            <w:r w:rsidRPr="008306DF">
              <w:rPr>
                <w:rFonts w:ascii="Arial" w:eastAsia="Times New Roman" w:hAnsi="Arial" w:cs="Arial"/>
                <w:color w:val="000000"/>
                <w:sz w:val="18"/>
                <w:szCs w:val="18"/>
              </w:rPr>
              <w:t>nonpulsatile</w:t>
            </w:r>
            <w:proofErr w:type="spellEnd"/>
            <w:r w:rsidRPr="008306DF">
              <w:rPr>
                <w:rFonts w:ascii="Arial" w:eastAsia="Times New Roman" w:hAnsi="Arial" w:cs="Arial"/>
                <w:color w:val="000000"/>
                <w:sz w:val="18"/>
                <w:szCs w:val="18"/>
              </w:rPr>
              <w:t xml:space="preserve"> flow in high-risk cardiac surgical patients.</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Özarslan</w:t>
            </w:r>
            <w:proofErr w:type="spellEnd"/>
            <w:r w:rsidRPr="008306DF">
              <w:rPr>
                <w:rFonts w:ascii="Arial" w:eastAsia="Times New Roman" w:hAnsi="Arial" w:cs="Arial"/>
                <w:color w:val="000000"/>
                <w:sz w:val="18"/>
                <w:szCs w:val="18"/>
              </w:rPr>
              <w:t xml:space="preserve"> 2012</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OPS</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TVD, MFI, PVD, PPV</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Sevoflurane</w:t>
            </w:r>
            <w:proofErr w:type="spellEnd"/>
            <w:r w:rsidRPr="008306DF">
              <w:rPr>
                <w:rFonts w:ascii="Arial" w:eastAsia="Times New Roman" w:hAnsi="Arial" w:cs="Arial"/>
                <w:color w:val="000000"/>
                <w:sz w:val="18"/>
                <w:szCs w:val="18"/>
              </w:rPr>
              <w:t xml:space="preserve"> had a negative effect on the microcirculation. Isoflurane decreased vascular density and increased flow. </w:t>
            </w:r>
            <w:proofErr w:type="spellStart"/>
            <w:r w:rsidRPr="008306DF">
              <w:rPr>
                <w:rFonts w:ascii="Arial" w:eastAsia="Times New Roman" w:hAnsi="Arial" w:cs="Arial"/>
                <w:color w:val="000000"/>
                <w:sz w:val="18"/>
                <w:szCs w:val="18"/>
              </w:rPr>
              <w:t>Desflurane</w:t>
            </w:r>
            <w:proofErr w:type="spellEnd"/>
            <w:r w:rsidRPr="008306DF">
              <w:rPr>
                <w:rFonts w:ascii="Arial" w:eastAsia="Times New Roman" w:hAnsi="Arial" w:cs="Arial"/>
                <w:color w:val="000000"/>
                <w:sz w:val="18"/>
                <w:szCs w:val="18"/>
              </w:rPr>
              <w:t xml:space="preserve"> produced stable effects on the microcirculation.</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Prestes</w:t>
            </w:r>
            <w:proofErr w:type="spellEnd"/>
            <w:r w:rsidRPr="008306DF">
              <w:rPr>
                <w:rFonts w:ascii="Arial" w:eastAsia="Times New Roman" w:hAnsi="Arial" w:cs="Arial"/>
                <w:color w:val="000000"/>
                <w:sz w:val="18"/>
                <w:szCs w:val="18"/>
              </w:rPr>
              <w:t xml:space="preserve"> 2016</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Observational study</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VD, MFI, PVD, PPV,HI</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In patients with </w:t>
            </w:r>
            <w:proofErr w:type="spellStart"/>
            <w:r w:rsidRPr="008306DF">
              <w:rPr>
                <w:rFonts w:ascii="Arial" w:eastAsia="Times New Roman" w:hAnsi="Arial" w:cs="Arial"/>
                <w:color w:val="000000"/>
                <w:sz w:val="18"/>
                <w:szCs w:val="18"/>
              </w:rPr>
              <w:t>intermdiate</w:t>
            </w:r>
            <w:proofErr w:type="spellEnd"/>
            <w:r w:rsidRPr="008306DF">
              <w:rPr>
                <w:rFonts w:ascii="Arial" w:eastAsia="Times New Roman" w:hAnsi="Arial" w:cs="Arial"/>
                <w:color w:val="000000"/>
                <w:sz w:val="18"/>
                <w:szCs w:val="18"/>
              </w:rPr>
              <w:t>/high preoperative risk, cardiac surgery and CPB can involve an increase in MFI and blood lactate at the end of the study.</w:t>
            </w:r>
          </w:p>
        </w:tc>
      </w:tr>
      <w:tr w:rsidR="008306DF" w:rsidRPr="0031281D" w:rsidTr="008306DF">
        <w:trPr>
          <w:trHeight w:val="800"/>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rPr>
                <w:rFonts w:ascii="Arial" w:eastAsia="Times New Roman" w:hAnsi="Arial" w:cs="Arial"/>
                <w:color w:val="000000"/>
                <w:sz w:val="18"/>
                <w:szCs w:val="18"/>
              </w:rPr>
            </w:pPr>
            <w:proofErr w:type="spellStart"/>
            <w:r w:rsidRPr="008306DF">
              <w:rPr>
                <w:rFonts w:ascii="Arial" w:eastAsia="Times New Roman" w:hAnsi="Arial" w:cs="Arial"/>
                <w:color w:val="000000"/>
                <w:sz w:val="18"/>
                <w:szCs w:val="18"/>
              </w:rPr>
              <w:t>Yuruk</w:t>
            </w:r>
            <w:proofErr w:type="spellEnd"/>
            <w:r w:rsidRPr="008306DF">
              <w:rPr>
                <w:rFonts w:ascii="Arial" w:eastAsia="Times New Roman" w:hAnsi="Arial" w:cs="Arial"/>
                <w:color w:val="000000"/>
                <w:sz w:val="18"/>
                <w:szCs w:val="18"/>
              </w:rPr>
              <w:t xml:space="preserve"> 2012</w:t>
            </w:r>
          </w:p>
        </w:tc>
        <w:tc>
          <w:tcPr>
            <w:tcW w:w="1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Randomized controlled trial</w:t>
            </w:r>
          </w:p>
        </w:tc>
        <w:tc>
          <w:tcPr>
            <w:tcW w:w="17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8306DF">
            <w:pPr>
              <w:jc w:val="center"/>
              <w:rPr>
                <w:rFonts w:ascii="Arial" w:eastAsia="Times New Roman" w:hAnsi="Arial" w:cs="Arial"/>
                <w:color w:val="000000"/>
                <w:sz w:val="18"/>
                <w:szCs w:val="18"/>
              </w:rPr>
            </w:pPr>
            <w:r w:rsidRPr="008306DF">
              <w:rPr>
                <w:rFonts w:ascii="Arial" w:eastAsia="Times New Roman" w:hAnsi="Arial" w:cs="Arial"/>
                <w:color w:val="000000"/>
                <w:sz w:val="18"/>
                <w:szCs w:val="18"/>
              </w:rPr>
              <w:t>SDF</w:t>
            </w:r>
          </w:p>
        </w:tc>
        <w:tc>
          <w:tcPr>
            <w:tcW w:w="24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7B05B1" w:rsidP="008306DF">
            <w:pPr>
              <w:jc w:val="center"/>
              <w:rPr>
                <w:rFonts w:ascii="Arial" w:eastAsia="Times New Roman" w:hAnsi="Arial" w:cs="Arial"/>
                <w:color w:val="000000"/>
                <w:sz w:val="18"/>
                <w:szCs w:val="18"/>
              </w:rPr>
            </w:pPr>
            <w:r>
              <w:rPr>
                <w:rFonts w:ascii="Arial" w:eastAsia="Times New Roman" w:hAnsi="Arial" w:cs="Arial"/>
                <w:color w:val="000000"/>
                <w:sz w:val="18"/>
                <w:szCs w:val="18"/>
              </w:rPr>
              <w:t>MFI, PVD, neutrophil ge</w:t>
            </w:r>
            <w:r w:rsidR="008306DF" w:rsidRPr="008306DF">
              <w:rPr>
                <w:rFonts w:ascii="Arial" w:eastAsia="Times New Roman" w:hAnsi="Arial" w:cs="Arial"/>
                <w:color w:val="000000"/>
                <w:sz w:val="18"/>
                <w:szCs w:val="18"/>
              </w:rPr>
              <w:t>l</w:t>
            </w:r>
            <w:r>
              <w:rPr>
                <w:rFonts w:ascii="Arial" w:eastAsia="Times New Roman" w:hAnsi="Arial" w:cs="Arial"/>
                <w:color w:val="000000"/>
                <w:sz w:val="18"/>
                <w:szCs w:val="18"/>
              </w:rPr>
              <w:t>a</w:t>
            </w:r>
            <w:r w:rsidR="008306DF" w:rsidRPr="008306DF">
              <w:rPr>
                <w:rFonts w:ascii="Arial" w:eastAsia="Times New Roman" w:hAnsi="Arial" w:cs="Arial"/>
                <w:color w:val="000000"/>
                <w:sz w:val="18"/>
                <w:szCs w:val="18"/>
              </w:rPr>
              <w:t xml:space="preserve">tinase-associated </w:t>
            </w:r>
            <w:proofErr w:type="spellStart"/>
            <w:r w:rsidR="008306DF" w:rsidRPr="008306DF">
              <w:rPr>
                <w:rFonts w:ascii="Arial" w:eastAsia="Times New Roman" w:hAnsi="Arial" w:cs="Arial"/>
                <w:color w:val="000000"/>
                <w:sz w:val="18"/>
                <w:szCs w:val="18"/>
              </w:rPr>
              <w:t>lipocalin</w:t>
            </w:r>
            <w:proofErr w:type="spellEnd"/>
            <w:r w:rsidR="008306DF" w:rsidRPr="008306DF">
              <w:rPr>
                <w:rFonts w:ascii="Arial" w:eastAsia="Times New Roman" w:hAnsi="Arial" w:cs="Arial"/>
                <w:color w:val="000000"/>
                <w:sz w:val="18"/>
                <w:szCs w:val="18"/>
              </w:rPr>
              <w:t>, creatinine, creatinine clearance</w:t>
            </w:r>
          </w:p>
        </w:tc>
        <w:tc>
          <w:tcPr>
            <w:tcW w:w="73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06DF" w:rsidRPr="008306DF" w:rsidRDefault="008306DF" w:rsidP="00353A6F">
            <w:pPr>
              <w:rPr>
                <w:rFonts w:ascii="Arial" w:eastAsia="Times New Roman" w:hAnsi="Arial" w:cs="Arial"/>
                <w:color w:val="000000"/>
                <w:sz w:val="18"/>
                <w:szCs w:val="18"/>
              </w:rPr>
            </w:pPr>
            <w:r w:rsidRPr="008306DF">
              <w:rPr>
                <w:rFonts w:ascii="Arial" w:eastAsia="Times New Roman" w:hAnsi="Arial" w:cs="Arial"/>
                <w:color w:val="000000"/>
                <w:sz w:val="18"/>
                <w:szCs w:val="18"/>
              </w:rPr>
              <w:t xml:space="preserve">The use of the miniaturized extracorporeal circulation system is associated with a statistically significant (but clinically insignificant) reduction in haemodilution and microcirculatory </w:t>
            </w:r>
            <w:proofErr w:type="spellStart"/>
            <w:r w:rsidRPr="008306DF">
              <w:rPr>
                <w:rFonts w:ascii="Arial" w:eastAsia="Times New Roman" w:hAnsi="Arial" w:cs="Arial"/>
                <w:color w:val="000000"/>
                <w:sz w:val="18"/>
                <w:szCs w:val="18"/>
              </w:rPr>
              <w:t>hypoperfusion</w:t>
            </w:r>
            <w:proofErr w:type="spellEnd"/>
            <w:r w:rsidRPr="008306DF">
              <w:rPr>
                <w:rFonts w:ascii="Arial" w:eastAsia="Times New Roman" w:hAnsi="Arial" w:cs="Arial"/>
                <w:color w:val="000000"/>
                <w:sz w:val="18"/>
                <w:szCs w:val="18"/>
              </w:rPr>
              <w:t xml:space="preserve"> compared with the use of the conventional extracorporeal circulation system.</w:t>
            </w:r>
          </w:p>
        </w:tc>
      </w:tr>
    </w:tbl>
    <w:p w:rsidR="00C47111" w:rsidRDefault="00C47111"/>
    <w:p w:rsidR="007B05B1" w:rsidRDefault="007B05B1" w:rsidP="007B05B1">
      <w:pPr>
        <w:pStyle w:val="Geenafstand"/>
        <w:jc w:val="both"/>
        <w:rPr>
          <w:rFonts w:ascii="Arial" w:hAnsi="Arial" w:cs="Arial"/>
          <w:sz w:val="18"/>
          <w:szCs w:val="18"/>
        </w:rPr>
      </w:pPr>
      <w:r w:rsidRPr="00463966">
        <w:rPr>
          <w:rFonts w:ascii="Arial" w:hAnsi="Arial" w:cs="Arial"/>
          <w:sz w:val="18"/>
          <w:szCs w:val="18"/>
        </w:rPr>
        <w:t xml:space="preserve">CPB; cardiopulmonary bypass, SDF; side-stream dark field imaging, OPS; orthogonal polarization spectral imaging, </w:t>
      </w:r>
      <w:r>
        <w:rPr>
          <w:rFonts w:ascii="Arial" w:hAnsi="Arial" w:cs="Arial"/>
          <w:color w:val="000000"/>
          <w:sz w:val="18"/>
          <w:szCs w:val="18"/>
        </w:rPr>
        <w:t>N</w:t>
      </w:r>
      <w:r w:rsidRPr="00463966">
        <w:rPr>
          <w:rFonts w:ascii="Arial" w:hAnsi="Arial" w:cs="Arial"/>
          <w:color w:val="000000"/>
          <w:sz w:val="18"/>
          <w:szCs w:val="18"/>
        </w:rPr>
        <w:t xml:space="preserve">, number of participants; </w:t>
      </w:r>
      <w:r w:rsidRPr="00463966">
        <w:rPr>
          <w:rFonts w:ascii="Arial" w:hAnsi="Arial" w:cs="Arial"/>
          <w:sz w:val="18"/>
          <w:szCs w:val="18"/>
        </w:rPr>
        <w:t xml:space="preserve">CABG; coronary artery bypass grafting, </w:t>
      </w:r>
      <w:r>
        <w:rPr>
          <w:rFonts w:ascii="Arial" w:hAnsi="Arial" w:cs="Arial"/>
          <w:sz w:val="18"/>
          <w:szCs w:val="18"/>
        </w:rPr>
        <w:t xml:space="preserve">FCD; functional capillary density, VD; vessel density, TVD; total vessel density, PVD; perfused vessel density, PPV, proportion of perfused vessels, MFI; microvascular flow index, </w:t>
      </w:r>
      <w:r w:rsidR="00E715F2">
        <w:rPr>
          <w:rFonts w:ascii="Arial" w:hAnsi="Arial" w:cs="Arial"/>
          <w:sz w:val="18"/>
          <w:szCs w:val="18"/>
        </w:rPr>
        <w:t xml:space="preserve">PBR; perfused boundary region, </w:t>
      </w:r>
      <w:r>
        <w:rPr>
          <w:rFonts w:ascii="Arial" w:hAnsi="Arial" w:cs="Arial"/>
          <w:sz w:val="18"/>
          <w:szCs w:val="18"/>
        </w:rPr>
        <w:t>HI; heterogeneity index.</w:t>
      </w:r>
    </w:p>
    <w:p w:rsidR="007B05B1" w:rsidRPr="00463966" w:rsidRDefault="007B05B1" w:rsidP="007B05B1">
      <w:pPr>
        <w:pStyle w:val="Geenafstand"/>
        <w:jc w:val="both"/>
        <w:rPr>
          <w:rFonts w:ascii="Arial" w:hAnsi="Arial" w:cs="Arial"/>
          <w:sz w:val="18"/>
          <w:szCs w:val="18"/>
        </w:rPr>
        <w:sectPr w:rsidR="007B05B1" w:rsidRPr="00463966" w:rsidSect="009B1861">
          <w:pgSz w:w="16840" w:h="11901" w:orient="landscape"/>
          <w:pgMar w:top="1418" w:right="1418" w:bottom="1418" w:left="1418" w:header="709" w:footer="709" w:gutter="0"/>
          <w:cols w:space="708"/>
          <w:docGrid w:linePitch="360"/>
        </w:sectPr>
      </w:pPr>
    </w:p>
    <w:p w:rsidR="007B05B1" w:rsidRPr="007B05B1" w:rsidRDefault="007B05B1">
      <w:pPr>
        <w:rPr>
          <w:lang w:val="en-GB"/>
        </w:rPr>
      </w:pPr>
    </w:p>
    <w:sectPr w:rsidR="007B05B1" w:rsidRPr="007B05B1" w:rsidSect="0031281D">
      <w:pgSz w:w="16840" w:h="11900"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1D"/>
    <w:rsid w:val="0031281D"/>
    <w:rsid w:val="003420A4"/>
    <w:rsid w:val="00353A6F"/>
    <w:rsid w:val="007B05B1"/>
    <w:rsid w:val="008306DF"/>
    <w:rsid w:val="00975B2A"/>
    <w:rsid w:val="00C03082"/>
    <w:rsid w:val="00C47111"/>
    <w:rsid w:val="00CC2819"/>
    <w:rsid w:val="00D6595B"/>
    <w:rsid w:val="00E71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FEB504"/>
  <w14:defaultImageDpi w14:val="300"/>
  <w15:docId w15:val="{53D287E9-B0D8-4C35-ACA4-A817AC00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B05B1"/>
    <w:rPr>
      <w:rFonts w:eastAsiaTheme="minorHAns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3846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6783FDEE</Template>
  <TotalTime>15</TotalTime>
  <Pages>3</Pages>
  <Words>808</Words>
  <Characters>4447</Characters>
  <Application>Microsoft Office Word</Application>
  <DocSecurity>0</DocSecurity>
  <Lines>37</Lines>
  <Paragraphs>10</Paragraphs>
  <ScaleCrop>false</ScaleCrop>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 den Os</dc:creator>
  <cp:keywords/>
  <dc:description/>
  <cp:lastModifiedBy>Dekker, N.A.M. (Nicole)</cp:lastModifiedBy>
  <cp:revision>10</cp:revision>
  <dcterms:created xsi:type="dcterms:W3CDTF">2019-12-01T16:10:00Z</dcterms:created>
  <dcterms:modified xsi:type="dcterms:W3CDTF">2019-12-08T16:32:00Z</dcterms:modified>
</cp:coreProperties>
</file>