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052" w:rsidRDefault="008C1052" w:rsidP="008C1052">
      <w:pPr>
        <w:pStyle w:val="Heading1"/>
        <w:rPr>
          <w:lang w:val="en-GB"/>
        </w:rPr>
      </w:pPr>
      <w:bookmarkStart w:id="0" w:name="_Toc35961344"/>
      <w:r>
        <w:rPr>
          <w:lang w:val="en-GB"/>
        </w:rPr>
        <w:t xml:space="preserve">Additional file 3: </w:t>
      </w:r>
      <w:r w:rsidRPr="00953821">
        <w:rPr>
          <w:lang w:val="en-GB"/>
        </w:rPr>
        <w:t>Table of studies per endpoint</w:t>
      </w:r>
      <w:r>
        <w:rPr>
          <w:lang w:val="en-GB"/>
        </w:rPr>
        <w:t xml:space="preserve"> and Risk of Bias</w:t>
      </w:r>
      <w:bookmarkEnd w:id="0"/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  <w:r>
        <w:rPr>
          <w:rFonts w:ascii="Century Gothic" w:hAnsi="Century Gothic"/>
          <w:sz w:val="24"/>
          <w:szCs w:val="24"/>
          <w:lang w:val="en-GB" w:eastAsia="de-DE"/>
        </w:rPr>
        <w:t>Table</w:t>
      </w:r>
      <w:r w:rsidRPr="003D0AAB">
        <w:rPr>
          <w:rFonts w:ascii="Century Gothic" w:hAnsi="Century Gothic"/>
          <w:sz w:val="24"/>
          <w:szCs w:val="24"/>
          <w:lang w:val="en-GB" w:eastAsia="de-DE"/>
        </w:rPr>
        <w:t xml:space="preserve"> S1</w:t>
      </w:r>
      <w:r>
        <w:rPr>
          <w:rFonts w:ascii="Century Gothic" w:hAnsi="Century Gothic"/>
          <w:sz w:val="24"/>
          <w:szCs w:val="24"/>
          <w:lang w:val="en-GB" w:eastAsia="de-DE"/>
        </w:rPr>
        <w:t>: Septic shock 30-day mortality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5244"/>
        <w:gridCol w:w="851"/>
        <w:gridCol w:w="1701"/>
        <w:gridCol w:w="992"/>
        <w:gridCol w:w="1679"/>
        <w:gridCol w:w="2255"/>
      </w:tblGrid>
      <w:tr w:rsidR="008C1052" w:rsidRPr="001E7CD8" w:rsidTr="0069032F">
        <w:trPr>
          <w:trHeight w:val="33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AE5955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lang w:eastAsia="de-DE"/>
              </w:rPr>
            </w:pPr>
            <w:r w:rsidRPr="00AE5955">
              <w:rPr>
                <w:rFonts w:ascii="Century Gothic" w:eastAsia="Times New Roman" w:hAnsi="Century Gothic" w:cs="Calibri"/>
                <w:b/>
                <w:bCs/>
                <w:color w:val="000000"/>
                <w:lang w:eastAsia="de-DE"/>
              </w:rPr>
              <w:t>First author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AE5955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lang w:eastAsia="de-DE"/>
              </w:rPr>
            </w:pPr>
            <w:r w:rsidRPr="00AE5955">
              <w:rPr>
                <w:rFonts w:ascii="Century Gothic" w:eastAsia="Times New Roman" w:hAnsi="Century Gothic" w:cs="Calibri"/>
                <w:b/>
                <w:bCs/>
                <w:color w:val="000000"/>
                <w:lang w:eastAsia="de-DE"/>
              </w:rPr>
              <w:t>Titel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AE5955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lang w:eastAsia="de-DE"/>
              </w:rPr>
            </w:pPr>
            <w:r w:rsidRPr="00AE5955">
              <w:rPr>
                <w:rFonts w:ascii="Century Gothic" w:eastAsia="Times New Roman" w:hAnsi="Century Gothic" w:cs="Calibri"/>
                <w:b/>
                <w:bCs/>
                <w:color w:val="000000"/>
                <w:lang w:eastAsia="de-DE"/>
              </w:rPr>
              <w:t>Year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AE5955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lang w:eastAsia="de-DE"/>
              </w:rPr>
            </w:pPr>
            <w:r w:rsidRPr="00AE5955">
              <w:rPr>
                <w:rFonts w:ascii="Century Gothic" w:eastAsia="Times New Roman" w:hAnsi="Century Gothic" w:cs="Calibri"/>
                <w:b/>
                <w:bCs/>
                <w:color w:val="000000"/>
                <w:lang w:eastAsia="de-DE"/>
              </w:rPr>
              <w:t>Method for ROB Assessment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AE5955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lang w:eastAsia="de-DE"/>
              </w:rPr>
            </w:pPr>
            <w:r w:rsidRPr="00AE5955">
              <w:rPr>
                <w:rFonts w:ascii="Century Gothic" w:eastAsia="Times New Roman" w:hAnsi="Century Gothic" w:cs="Calibri"/>
                <w:b/>
                <w:bCs/>
                <w:color w:val="000000"/>
                <w:lang w:eastAsia="de-DE"/>
              </w:rPr>
              <w:t xml:space="preserve">Risk of Bias  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AE5955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lang w:eastAsia="de-DE"/>
              </w:rPr>
            </w:pPr>
            <w:r w:rsidRPr="00AE5955">
              <w:rPr>
                <w:rFonts w:ascii="Century Gothic" w:eastAsia="Times New Roman" w:hAnsi="Century Gothic" w:cs="Calibri"/>
                <w:b/>
                <w:bCs/>
                <w:color w:val="000000"/>
                <w:lang w:eastAsia="de-DE"/>
              </w:rPr>
              <w:t>Study type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AE5955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lang w:eastAsia="de-DE"/>
              </w:rPr>
            </w:pPr>
            <w:r w:rsidRPr="00AE5955">
              <w:rPr>
                <w:rFonts w:ascii="Century Gothic" w:eastAsia="Times New Roman" w:hAnsi="Century Gothic" w:cs="Calibri"/>
                <w:b/>
                <w:bCs/>
                <w:color w:val="000000"/>
                <w:lang w:eastAsia="de-DE"/>
              </w:rPr>
              <w:t>Country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Alvarez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Cost analysis of real-time polymerase chain reaction microbiological diagnosis in patients with septic shock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critical 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Spain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Annane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Corticosteroidsin the Treatment of Severe Sepsis and Septic Shock in Adults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Annane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Corticosteroid treatment and intensive insulin therapy for septic shock in adults: a randomized controlled trial.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France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Annane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Recombinant human activated protein C for adults with septic shock: a randomized controlled trial.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France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Asfar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High versus low blood-pressure target in patients with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Some concern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France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Asfar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Hyperoxia and hypertonic saline in patients with septic shock (HYPERS2S): a two-by-two factorial, multicentre, randomised, clinical trial.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France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Askim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Epidemiology and outcome of sepsis in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br/>
              <w:t>adult patients with Streptococcus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br/>
              <w:t>pneumoniae infection in a Norwegian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br/>
              <w:t>county 1993–2011: an observational study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Norway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Avni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Vasopressors for the Treatment of Septic Shock: Systematic Review and Meta-Analysis.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Balik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Propafenone for supraventricular arrhythmias in septic shock-Comparison to amiodarone and metoprolol.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Czech Republic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Behnes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Diagnostic and prognostic utility of soluble CD 14 subtype (presepsin) for severe sepsis and septic shock during the first week of intensive care treatment.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Bernard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Evaluating the efficacy and safety of two doses of the polyclonal anti-tumor necrosis factor-alpha fragment antibody AZD9773 in adult patients with severe sepsis and/or septic shock: randomized, double-blind, placebo-controlled phase IIb study*.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Multi-country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Biyikli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Effect of platelet-lymphocyte ratio and lactate levels obtained on mortality with sepsis and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Turkey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Bloos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Effect of a multifaceted educational intervention for anti-infectious measures on sepsis mortality: a cluster randomized trial.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Some concern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Bloos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Impact of compliance with infection management guidelines on outcome in patients with severe sepsis: a prospective observational multi-center study.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Bloos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Effect of Sodium Selenite Administration and Procalcitonin-Guided Therapy on Mortality in Patients With Severe Sepsis or Septic Shock: A Randomized Clinical Trial.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Borthwick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High-volume haemofiltration for sepsis in adults.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Boulain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Prevalence of low central venous oxygen saturation in the first hours of intensive care unit admission and associated mortality in septic shock patients: a prospective multicentre study.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France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Boulain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Dopamine therapy in septic shock: detrimental effect on survival?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France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Brown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Coefficient of Variation of Coarsely Sampled Heart Rate is Associated With Early Vasopressor Independence in Severe Sepsis and Septic 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Brunkhorst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Effect of empirical treatment with moxifloxacin and meropenem vs meropenem on sepsis-related organ dysfunction in patients with severe sepsis: a randomized trial.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Caironi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Albumin replacement in patients with severe sepsis or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Italy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Castegren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Initial levels of organ failure, microbial findings and mortality in intensive care-treated primary, secondary and tertiary sepsis.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Sweden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Chan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Etomidate is associated with mortality and adrenal insufficiency in sepsis: a meta-analysis*.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Clark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High-volume hemofiltration for septic acute kidney injury: a systematic review and meta-analysis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Coccolini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Early goal-directed treatment versus standard care in management of early septic shock: Meta-analysis of randomized trials.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Coen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Towards a less invasive approach to the early goal-directed treatment of septic shock in the ED.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ROBINS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Italy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Contou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Septic shock with no diagnosis at 24 hours: a pragmatic multicenter prospective cohort study.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France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Cruz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Early use of polymyxin B hemoperfusion in abdominal septic shock: the EUPHAS randomized controlled trial.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Italy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De La Torre-Prados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Mid-regional pro-adrenomedullin as prognostic biomarker in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Spain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Dellinger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Effect of Targeted Polymyxin B Hemoperfusion on 28-Day Mortality in Patients With Septic Shock and Elevated Endotoxin Level: The EUPHRATES Randomized Clinical Trial.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Some concern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North America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Ferraris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Mottling score and skin temperature in septic shock: Relation and impact on prognosis in ICU.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France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Fisher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Elevated Plasma Angiopoietin-2 Levels Are Associated With Fluid Overload, Organ Dysfunction, and Mortality in Human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Multi-country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Fjell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Cytokines and signaling molecules predict clinical outcomes in sepsis.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Multi-country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Garcia-Lopez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Impact of the implementation of a Sepsis Code hospital protocol in antibiotic prescription and clinical outcomes in an intensive care unit.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Spain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Gordon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The effects of vasopressin on acute kidney injury in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Multi-country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Guntupalli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 phase 2 randomized, double-blind, placebo-controlled study of the safety and efficacy of talactoferrin in patients with severe sepsis.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Some concern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E7CD8">
              <w:rPr>
                <w:rFonts w:ascii="Calibri" w:eastAsia="Times New Roman" w:hAnsi="Calibri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E7CD8">
              <w:rPr>
                <w:rFonts w:ascii="Calibri" w:eastAsia="Times New Roman" w:hAnsi="Calibri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Hammond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Prospective Open-label Trial of Early Concomitant Vasopressin and Norepinephrine  Therapy versus Initial Norepinephrine Monotherapy in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Modereate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Jung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Effects of etomidate on complications related to intubation and on mortality in septic shock patients treated with hydrocortisone: a propensity score analysis.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France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Karampela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Kinetics of circulating fetuin-A may predict mortality independently from adiponectin, high molecular weight adiponectin and prognostic factors in critically ill patients with sepsis: A prospective study.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Greece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Kumar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Early combination antibiotic therapy yields improved survival compared with monotherapy in septic shock: a propensity-matched analysis.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Multi-country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Lai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An updated meta-analysis to understand the variable efficacy of drotrecogin alfa  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(activated) in severe sepsis and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Laribi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CT-proAVP is not a good predictor of a vasopressor need in septic shock.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Critical 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Belgium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Lorente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Higher platelet cytochrome oxidase specific activity in surviving than in non-surviving septic patients.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Spain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Lorente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Association between serum soluble CD40 ligand levels and mortality in patients with severe sepsis.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Spain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Macdonald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Tahoma" w:eastAsia="Times New Roman" w:hAnsi="Tahoma" w:cs="Tahoma"/>
                <w:color w:val="000000"/>
                <w:lang w:eastAsia="de-DE"/>
              </w:rPr>
              <w:t>﻿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Comparison of PIRO, SOFA, and MEDS scores for predicting mortality in emergency department patients with severe sepsis and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E7CD8">
              <w:rPr>
                <w:rFonts w:ascii="Calibri" w:eastAsia="Times New Roman" w:hAnsi="Calibri" w:cs="Calibri"/>
                <w:color w:val="000000"/>
                <w:lang w:eastAsia="de-DE"/>
              </w:rPr>
              <w:t>Australia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Monti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Rescue therapy with polymyxin B hemoperfusion in high-dose vasopressor therapy refractory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Italy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Nakada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Tahoma" w:eastAsia="Times New Roman" w:hAnsi="Tahoma" w:cs="Tahoma"/>
                <w:color w:val="000000"/>
                <w:lang w:eastAsia="de-DE"/>
              </w:rPr>
              <w:t>﻿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beta2-Adrenergic receptor gene polymorphism is associated with mortality in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other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Canada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Nardi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Targeting skeletal muscle tissue oxygenation (StO2) in adults with severe sepsis and septic shock: a randomised controlled trial (OTO-StS Study).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Multi-country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Nikitas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Tahoma" w:eastAsia="Times New Roman" w:hAnsi="Tahoma" w:cs="Tahoma"/>
                <w:color w:val="000000"/>
                <w:lang w:eastAsia="de-DE"/>
              </w:rPr>
              <w:t>﻿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Elevated adipose tissue lactate to pyruvate (L/P) ratio predicts poor outcome in  critically ill patients with septic shock: a microdialysis study.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Greece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Papanikolaou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New insights into the mechanisms involved in B-type natriuretic peptide elevation and its prognostic value in septic patients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Greece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Parsons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Red blood cell transfusion and outcomes in patients with acute lung injury, sepsis and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North America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Patel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Efficacy and safety of dopamine versus norepinephrine in the management of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Some concern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Payen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Is thenar tissue hemoglobin oxygen saturation in septic shock related to macrohemodynamic variables and outcome?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France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Payen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Impact of continuous venovenous hemofiltration on organ failure during the early  phase of severe sepsis: a randomized controlled trial.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Some concern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France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Peake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Goal-directed resuscitation for patients with early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Multi-country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Pedersen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Dispatch and prehospital transport for acute septic patients: an observational study.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ROBINS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Denmark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Perner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Hydroxyethyl starch 130/0.42 versus Ringer's acetate in severe sepsis.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Skandinavia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Pettila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Control groups in recent septic shock trials: a systematic review.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Prucha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Presence of hypogammaglobulinemia - a risk factor of mortality in patients with severe sepsis, septic shock, and SIRS.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Czech Republic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Puskarich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Preliminary safety and efficacy of L-carnitine infusion for the treatment of vasopressor-dependent septic shock: a randomized control trial.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Puskarich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Early alterations in platelet mitochondrial function are associated with survival and organ failure in patients with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Ranieri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Drotrecogin alfa (activated) in adults with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Europe, North and South America, Australia, New Zealand, India 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Orde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Tahoma" w:eastAsia="Times New Roman" w:hAnsi="Tahoma" w:cs="Tahoma"/>
                <w:color w:val="000000"/>
                <w:lang w:eastAsia="de-DE"/>
              </w:rPr>
              <w:t>﻿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Outcome prediction in sepsis: speckle tracking echocardiography based assessment  of myocardial function.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Sturgess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Prediction of hospital outcome in septic shock: a prospective comparison of tissue Doppler 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and cardiac biomarkers.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Australia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Stupica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Should we consider faecal colonisation with extended-spectrum beta-lactamase-producing Enterobacteriaceae in empirical therapy of community-onset sepsis?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Slovenia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Statz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Angiopoietin 2 Levels in the Risk Stratification and Mortality Outcome Prediction of Sepsis-Associated Coagulopathy.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Smith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Higher vs. lower fluid volume for septic shock: clinical characteristics and outcome in unselected patients in a prospective, multicenter cohort.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Denmark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Sligl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Safety and efficacy of corticosteroids for the treatment of septic shock: A systematic review and meta-analysis.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Sirvent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Fluid balance in sepsis and septic shock as a determining factor of mortality.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ROBINS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Spain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Shakoory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Interleukin-1 Receptor Blockade Is Associated With Reduced Mortality in Sepsis Patients With Features of Macrophage Activation Syndrome: Reanalysis of a Prior Phase III Trial.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North America, Europe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Schnell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Impact of a recent chemotherapy on the duration and intensity of the norepinephrine support during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France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Scheer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Quality Improvement Initiative for Severe Sepsis and Septic Shock Reduces 90-Day  Mortality: A 7.5-Year Observational Study.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Sanchez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Declining mortality due to severe sepsis and septic shock in Spanish intensive care units: A two-cohort study in 2005 and 2011.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Spain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Uvizl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Patient survival, predictive factors and disease course of severe sepsis in Czech intensive care units: A multicentre, retrospective, observational study.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Czech Republic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Vasu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Norepinephrine or dopamine for septic shock: systematic review of randomized clinical trials.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other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Vincent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Is worsening multiple organ failure the cause of death in patients with severe sepsis?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other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Multi-country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Vincent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Multicenter, randomized, placebo-controlled phase III study of pyridoxalated hemoglobin polyoxyethylene in distributive shock (PHOENIX).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Multi-country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Rios-Toro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Soluble membrane receptors, interleukin 6, procalcitonin and C reactive protein as prognostic markers in patients with severe sepsis and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Spain</w:t>
            </w:r>
          </w:p>
        </w:tc>
      </w:tr>
      <w:tr w:rsidR="008C1052" w:rsidRPr="001E7CD8" w:rsidTr="0069032F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Rosland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Red blood cell transfusion in septic shock - clinical characteristics and outcome of unselected patients in a prospective, multicentre cohort.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Denmark</w:t>
            </w:r>
          </w:p>
        </w:tc>
      </w:tr>
    </w:tbl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  <w:r>
        <w:rPr>
          <w:rFonts w:ascii="Century Gothic" w:hAnsi="Century Gothic"/>
          <w:sz w:val="24"/>
          <w:szCs w:val="24"/>
          <w:lang w:val="en-GB" w:eastAsia="de-DE"/>
        </w:rPr>
        <w:t>Table</w:t>
      </w:r>
      <w:r w:rsidRPr="003D0AAB">
        <w:rPr>
          <w:rFonts w:ascii="Century Gothic" w:hAnsi="Century Gothic"/>
          <w:sz w:val="24"/>
          <w:szCs w:val="24"/>
          <w:lang w:val="en-GB" w:eastAsia="de-DE"/>
        </w:rPr>
        <w:t xml:space="preserve"> S</w:t>
      </w:r>
      <w:r>
        <w:rPr>
          <w:rFonts w:ascii="Century Gothic" w:hAnsi="Century Gothic"/>
          <w:sz w:val="24"/>
          <w:szCs w:val="24"/>
          <w:lang w:val="en-GB" w:eastAsia="de-DE"/>
        </w:rPr>
        <w:t>2: Septic shock 90-day mortality</w:t>
      </w:r>
    </w:p>
    <w:tbl>
      <w:tblPr>
        <w:tblW w:w="143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1"/>
        <w:gridCol w:w="5308"/>
        <w:gridCol w:w="851"/>
        <w:gridCol w:w="1701"/>
        <w:gridCol w:w="1214"/>
        <w:gridCol w:w="1559"/>
        <w:gridCol w:w="2268"/>
      </w:tblGrid>
      <w:tr w:rsidR="008C1052" w:rsidRPr="001E7CD8" w:rsidTr="0069032F">
        <w:trPr>
          <w:trHeight w:val="330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Author</w:t>
            </w:r>
          </w:p>
        </w:tc>
        <w:tc>
          <w:tcPr>
            <w:tcW w:w="5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Titel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Year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Method for ROB Assessment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Risk of Bias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Study type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Country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Angus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 systematic review and meta-analysis of early goal-directed therapy for septic shock: the ARISE, ProCESS and ProMISe Investigators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Annane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Corticosteroid treatment and intensive insulin 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therapy for septic shock in adults: a randomized controlled trial.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France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Annane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Hydrocortisone plus Fludrocortisone for Adults with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France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Annane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Recombinant human activated protein C for adults with septic shock: a randomized controlled trial.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France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Asfar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High versus low blood-pressure target in patients with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Some concern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France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Asfar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Hyperoxia and hypertonic saline in patients with septic shock (HYPERS2S): a two-by-two factorial, multicentre, randomised, clinical trial.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France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Bloos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Effect of Sodium Selenite Administration and Procalcitonin-Guided Therapy on Mortality in Patients With Severe Sepsis or Septic Shock: A Randomized Clinical Trial.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Brunkhorst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Effect of empirical treatment with moxifloxacin and meropenem vs meropenem on sepsis-related organ dysfunction in patients with severe sepsis: a randomized trial.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Caironi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Albumin replacement in patients with severe sepsis or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Italy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Coccolini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Early goal-directed treatment versus standard care in management of early septic shock: Meta-analysis of randomized trials.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Coen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Towards a less invasive approach to the early goal-directed treatment of septic shock in the ED.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Italy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Dahl 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Variability in targeted arterial oxygenation levels in patients with severe sepsis or septic shock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Scandinavia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Fisher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Elevated Plasma Angiopoietin-2 Levels Are Associated With Fluid Overload, Organ Dysfunction, and Mortality in Human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Fjell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Cytokines and signaling molecules predict clinical outcomes in sepsis.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Guntupalli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 phase 2 randomized, double-blind, placebo-controlled study of the safety and efficacy of talactoferrin in patients with severe sepsis.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Some concern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Hjortrup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Restricting volumes of resuscitation fluid in adults with septic shock after initial management: the CLASSIC randomised, parallel-group, multicentre feasibility trial.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Scandinavia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Holst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Lower versus higher hemoglobin threshold for transfusion in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Scandinavia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Joannes-Boyau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High-volume versus standard-volume haemofiltration for septic shock patients with acute kidney injury (IVOIRE study): a multicentre randomized controlled trial.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Mouncey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Protocolised Management In Sepsis (ProMISe): a multicentre, randomised controlled trial of the clinical and cost-effectiveness of early protocolised resuscitation for emerging septic shock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UK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Peake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Goal-directed resuscitation for patients with early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Mulit-country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Perner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Hydroxyethyl starch 130/0.42 versus Ringer's acetate in severe sepsis.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Skandinavia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Pettila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Control groups in recent septic shock trials: a systematic review.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Poukkanen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Variation in the use of renal replacement therapy in patients with septic shock:  a substudy of the prospective multicenter observational FINNAKI study.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Finland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Puskarich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Preliminary safety and efficacy of L-carnitine infusion for the treatment of vasopressor-dependent septic shock: a randomized control trial.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Ranieri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Drotrecogin alfa (activated) in adults with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Multi-country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Rasmussen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More complications in patients with septic shock treated with dextran compared with crystalloids.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Not reported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Warmerdam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Initial disease severity and quality of care of emergency department sepsis patients who are older or younger than 70 years of age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Netherlands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Yealy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 Randomized Trial of Protocol-Based Care for Early Septic Shock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Smith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Higher vs. lower fluid volume for septic shock: clinical characteristics and outcome in unselected patients in a prospective, multicenter cohort.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Denmark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Sjovall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Maximally effective dosing regimens of meropenem in patients with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Denmark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Scheer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Quality Improvement Initiative for Severe Sepsis and Septic Shock Reduces 90-Day  Mortality: A 7.5-Year Observational Study.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Schadler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The effect of a novel extracorporeal cytokine hemoadsorption device on IL-6 elimination in septic patients: A randomized controlled trial.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Some concern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Uvizl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Patient survival, predictive factors and disease course of severe sepsis in Czech intensive care units: A multicentre, retrospective, observational study.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Czech Republic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Vaara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Soluble CD73 in Critically Ill Septic Patients - Data from the Prospective FINNAKI Study.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other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Finland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Venkatesh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Adjunctive Glucocorticoid Therapy in Patients with Septic Shock.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Australia, United Kingdom, New Zealand, Saudi Arabia, Denmark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Villa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Organ dysfunction during continuous veno-venous high cut-off hemodialysis in patients with septic acute kidney injury: A prospective 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observational study.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Moderate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Italy</w:t>
            </w:r>
          </w:p>
        </w:tc>
      </w:tr>
      <w:tr w:rsidR="008C1052" w:rsidRPr="001E7CD8" w:rsidTr="0069032F">
        <w:trPr>
          <w:trHeight w:val="330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Rosland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Red blood cell transfusion in septic shock - clinical characteristics and outcome of unselected patients in a prospective, multicentre cohort.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Denmark</w:t>
            </w:r>
          </w:p>
        </w:tc>
      </w:tr>
    </w:tbl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  <w:r>
        <w:rPr>
          <w:rFonts w:ascii="Century Gothic" w:hAnsi="Century Gothic"/>
          <w:sz w:val="24"/>
          <w:szCs w:val="24"/>
          <w:lang w:val="en-GB" w:eastAsia="de-DE"/>
        </w:rPr>
        <w:t>Table</w:t>
      </w:r>
      <w:r w:rsidRPr="003D0AAB">
        <w:rPr>
          <w:rFonts w:ascii="Century Gothic" w:hAnsi="Century Gothic"/>
          <w:sz w:val="24"/>
          <w:szCs w:val="24"/>
          <w:lang w:val="en-GB" w:eastAsia="de-DE"/>
        </w:rPr>
        <w:t xml:space="preserve"> S</w:t>
      </w:r>
      <w:r>
        <w:rPr>
          <w:rFonts w:ascii="Century Gothic" w:hAnsi="Century Gothic"/>
          <w:sz w:val="24"/>
          <w:szCs w:val="24"/>
          <w:lang w:val="en-GB" w:eastAsia="de-DE"/>
        </w:rPr>
        <w:t>3: Sepsis 30-day mortality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6"/>
        <w:gridCol w:w="6066"/>
        <w:gridCol w:w="261"/>
        <w:gridCol w:w="872"/>
        <w:gridCol w:w="528"/>
        <w:gridCol w:w="828"/>
        <w:gridCol w:w="3809"/>
      </w:tblGrid>
      <w:tr w:rsidR="008C1052" w:rsidRPr="001E7CD8" w:rsidTr="008C1052">
        <w:trPr>
          <w:trHeight w:val="330"/>
        </w:trPr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Author</w:t>
            </w:r>
          </w:p>
        </w:tc>
        <w:tc>
          <w:tcPr>
            <w:tcW w:w="17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Titel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Year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Method for ROB Assessment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Risk of Bias  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Study type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Country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Alhazzani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The Effect of Selenium Therapy on Mortality ¡n Patients With Sepsis Syndrome: A Systematic Review and Meta-Analysis of Randomized Controlled Trials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Annane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Corticosteroids for treating sepsis (Review)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Askim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Epidemiology and outcome of sepsis in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br/>
              <w:t>adult patients with Streptococcus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br/>
              <w:t>pneumoniae infection in a Norwegian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br/>
              <w:t>county 1993–2011: an observational study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Norway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Askim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Poor performance of quick-SOFA (qSOFA) score in predicting severe sepsis and mortality - a prospective study of patients admitted with infection to the emergency department.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Norway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Boyd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Increased Plasma PCSK9 Levels Are Associated with Reduced Endotoxin Clearance and the Development of Acute Organ Failures during Sepsis.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Canada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Contenti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Effectiveness of arterial, venous, and capillary blood lactate as a sepsis triage tool in ED patients.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France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Davies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The effect of sepsis and septic shock on the viscoelastic properties of clot quality and mass using rotational thromboelastometry: A prospective observational study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Wales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De Pablo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Circulating sICAM-1 and sE-Selectin as biomarker of infection and prognosis in patients with systemic inflammatory response syndrome.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Spain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Dettmer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The impact of serial lactate monitoring on emergency department resuscitation interventions and clinical outcomes in severe sepsis and septic shock: an observational cohort study.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not reported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Drewry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Comparison of monocyte human leukocyte antigen-DR expression and stimulated tumor necrosis factor alpha production as outcome predictors in severe sepsis: a prospective observational study.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Dupuis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Effect of Transfusion on Mortality and Other Adverse Events Among Critically Ill  Septic Patients: An Observational Study Using a Marginal Structural Cox Model.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France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Dwivedi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Prognostic utility and characterization of cell-free DNA in patients with severe  sepsis.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Canada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Elke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Enteral nutrition is associated with improved outcome in patients with severe sepsis. A secondary analysis of the VISEP trial.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Finfer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Impact of albumin compared to saline on organ function and mortality of patients with severe sepsis.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multi-country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Gaulton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The effect of obesity on clinical outcomes in presumed sepsis: a retrospective cohort study.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Giamarellos-Bourboulis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Effect of clarithromycin in patients with suspected Gram-negative sepsis: results of a randomized controlled trial.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  <w:lang w:eastAsia="de-DE"/>
              </w:rPr>
            </w:pPr>
            <w:r w:rsidRPr="001E7CD8">
              <w:rPr>
                <w:rFonts w:ascii="Calibri" w:eastAsia="Times New Roman" w:hAnsi="Calibri" w:cs="Calibri"/>
                <w:color w:val="0563C1"/>
                <w:u w:val="single"/>
                <w:lang w:eastAsia="de-DE"/>
              </w:rPr>
              <w:t>ROB2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Greece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Gonzalez-Padilla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Gentamicin therapy for sepsis due to carbapenem-resistant and colistin-resistant Klebsiella pneumoniae.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Spain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Gordon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Effect of Early Vasopressin vs Norepinephrine on Kidney Failure in Patients With Septic Shock: The VANISH Randomized Clinical Trial.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UK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Guidet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Assessment of hemodynamic efficacy and safety of 6% hydroxyethylstarch 130/0.4 vs. 0.9% NaCl fluid replacement in patients with severe sepsis: the CRYSTMAS study.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multi-country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Guirgis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HDL inflammatory index correlates with and predicts severity of organ failure in  patients with sepsis and septic shock.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Guntupalli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 phase 2 randomized, double-blind, placebo-controlled study of the safety and efficacy of talactoferrin in patients with severe sepsis.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Some concern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Han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Ulinastatin- and thymosin alpha1-based immunomodulatory strategy for sepsis: A meta-analysis.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Hanzelka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Implementation of modified early-goal directed therapy for sepsis in the emergency center of a comprehensive cancer center.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Hazz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ard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 xml:space="preserve">Coupled plasma haemofiltration filtration in severe 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sepsis: systematic review and meta-analysis.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2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015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Meta-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analysis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 xml:space="preserve"> -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Heemskerk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Alkaline phosphatase treatment improves renal function in severe sepsis or septic shock patients.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2009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Netherlands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Herran-Monge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Mortality Reduction and Long-Term Compliance with Surviving Sepsis Campaign: A Nationwide Multicenter Study.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Spain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Igonin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C1-esterase inhibitor infusion increases survival rates for patients with sepsis*.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High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Russia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Jerwood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 pilot clinical trial to evaluate a novel time-to-positivity assay to measure the effectiveness of antibiotic therapy for septic patients in intensive care.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UK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Jouffroy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Triage of Septic Patients Using qSOFA Criteria at the SAMU Regulation: A Retrospective Analysis.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Critical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France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Karampela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Kinetics of circulating fetuin-A may predict mortality independently from adiponectin, high molecular weight adiponectin and prognostic factors in critically ill patients with sepsis: A prospective study.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Greece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Keep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National early warning score at Emergency Department triage may allow earlier identification of patients with severe sepsis and septic shock: a retrospective observational study.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retrospective cohort 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UK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Keh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Effect of Hydrocortisone on Development of Shock Among Patients With Severe Sepsis: The HYPRESS Randomized Clinical Trial.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Koch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Regulation and prognostic relevance of serum ghrelin concentrations in critical illness and sepsis.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Kristof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Anaemia requiring red blood cell transfusion is associated with unfavourable 90-day survival in surgical patients with sepsis.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Kruger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 multicenter randomized trial of atorvastatin therapy in intensive care patients with severe sepsis.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multi-country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Kuipers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Incidence, risk factors and outcomes of new-onset atrial fibrillation in patients with sepsis: a systematic review.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other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Leaf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Randomized controlled trial of calcitriol in severe sepsis.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Li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Thymosin alpha1 based immunomodulatory therapy for sepsis: a systematic review and meta-analysis.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Lopez-Mestanza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Clinical factors influencing mortality risk in hospital-acquired sepsis.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retrospective cohort 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Spain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Lorente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Serum melatonin levels are associated with mortality in severe septic patients.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Spain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Lorente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Sustained high serum malondialdehyde levels are associated with severity and mortality in septic patients.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Spain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Lorente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Sustained high plasma plasminogen activator inhibitor-1 levels are associated with severity and mortality in septic patients.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Spain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Lorente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Serum levels of caspase-cleaved cytokeratin-18 and mortality are associated in severe septic patients: pilot study.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Spain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Lorente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Septic patients with mitochondrial DNA haplogroup JT have higher respiratory complex IV activity and survival rate.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Spain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Lorente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Association of sepsis-related mortality with early increase of TIMP-1/MMP-9 ratio.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Spain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Lv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Anti-TNF-alpha therapy for patients with sepsis: a systematic meta-analysis.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multi-country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Macdonald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Tahoma" w:eastAsia="Times New Roman" w:hAnsi="Tahoma" w:cs="Tahoma"/>
                <w:color w:val="000000"/>
                <w:lang w:eastAsia="de-DE"/>
              </w:rPr>
              <w:t>﻿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Comparison of PIRO, SOFA, and MEDS scores for predicting mortality in emergency department patients with severe sepsis and septic shock.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Australia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Mansur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Impact of statin therapy on mortality in patients with sepsis-associated acute respiratory distress syndrome (ARDS) depends on ARDS severity: a prospective observational cohort study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Mansur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Late mortality after sepsis: propensity matched cohort study.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Nejat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Tahoma" w:eastAsia="Times New Roman" w:hAnsi="Tahoma" w:cs="Tahoma"/>
                <w:color w:val="000000"/>
                <w:lang w:eastAsia="de-DE"/>
              </w:rPr>
              <w:t>﻿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Urinary cystatin C is diagnostic of acute kidney injury and sepsis, and predicts  mortality in the intensive care unit.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Serious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other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New Zealand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Nowak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Tahoma" w:eastAsia="Times New Roman" w:hAnsi="Tahoma" w:cs="Tahoma"/>
                <w:color w:val="000000"/>
                <w:lang w:eastAsia="de-DE"/>
              </w:rPr>
              <w:t>﻿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Noninvasive hemodynamic monitoring in emergency patients with suspected heart failure, sepsis and stroke: the PREMIUM registry.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Pandharipande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Effect of dexmedetomidine versus lorazepam on outcome in patients with sepsis: an a priori-designed analysis of the MENDS randomized controlled trial.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Pedersen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Dispatch and prehospital transport for acute septic patients: an observational study.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Denmark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Prescott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Late mortality after sepsis: propensity matched cohort study.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Prucha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Presence of hypogammaglobulinemia - a risk factor of mortality in patients with severe sepsis, septic shock, 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and SIRS.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20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13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e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Czech Republic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Quinten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Sepsis patients in the emergency department: stratification using the Clinical Impression Score, Predisposition, Infection, Response and Organ dysfunction score or quick Sequential Organ Failure Assessment score?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Netherlands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Osawa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Cytomegalovirus infection in patients with sepsis due to bloodstream infections:  lower risk and better outcomes in new versus already hospitalised intensive care unit admissions.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Ostrowski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Association between biomarkers of endothelial injury and hypocoagulability in patients with severe sepsis: a prospective study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other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Denmark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Stortz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Evidence for Persistent Immune Suppression in Patients Who Develop Chronic Critical Illness After Sepsis.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Stevenson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Sepsis: the LightCycler SeptiFast Test MGRADE(R), SepsiTest and IRIDICA BAC BSI assay for rapidly identifying bloodstream bacteria and fungi - a systematic review and economic evaluation.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0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Stevenson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Two decades of mortality trends among patients with severe sepsis: a comparative  meta-analysis*.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Statz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Angiopoietin 2 Levels in the Risk Stratification and Mortality Outcome Prediction of Sepsis-Associated Coagulopathy.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Serious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prosp. cohort 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multi-country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Sponholz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Gene polymorphisms in the heme degradation pathway and outcome of severe human sepsis.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Serious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Simon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Plasma adrenomedullin in critically ill patients with sepsis after major surgery: A pilot study.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multi-country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Serpa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Fluid resuscitation with hydroxyethyl starches in patients with sepsis is associated with an increased incidence of acute kidney injury and use of renal replacement therapy: a systematic review and meta-analysis of the literature.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Scicluna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Classification of patients with sepsis according to blood genomic endotype: a prospective cohort study.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multi-country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Schuetz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Serial Procalcitonin Predicts Mortality in Severe Sepsis Patients: Results From the Multicenter Procalcitonin MOnitoring SEpsis (MOSES) Study.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Green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Hyperlactatemia affects the association of hyperglycemia with mortality in nondiabetic adults with sepsis.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Marti-Carvajal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Human recombinant activated protein C for severe sepsis.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Low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van Vugh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t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Tahoma" w:eastAsia="Times New Roman" w:hAnsi="Tahoma" w:cs="Tahoma"/>
                <w:color w:val="000000"/>
                <w:lang w:eastAsia="de-DE"/>
              </w:rPr>
              <w:lastRenderedPageBreak/>
              <w:t>﻿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Incidence, Risk Factors, and Attributable Mortality of Secondary Infections in the Intensive Care Unit After 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Admission for Sepsis.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20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16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ate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prosp. cohor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Netherlands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Vincent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Talactoferrin in Severe Sepsis: Results From the Phase II/III Oral tAlactoferrin in Severe sepsIS Trial.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North America, Europe group 1 [Belgium, Denmark, Germany, The Netherlands], and Europe group 2 [France, Israel, Spain, United Kingdom]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Rosenqvist</w:t>
            </w:r>
          </w:p>
        </w:tc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Sepsis Alert - a triage model that reduces time to antibiotics and length of hospital stay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Modereat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Sweden</w:t>
            </w:r>
          </w:p>
        </w:tc>
      </w:tr>
    </w:tbl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  <w:r>
        <w:rPr>
          <w:rFonts w:ascii="Century Gothic" w:hAnsi="Century Gothic"/>
          <w:sz w:val="24"/>
          <w:szCs w:val="24"/>
          <w:lang w:val="en-GB" w:eastAsia="de-DE"/>
        </w:rPr>
        <w:t>Table</w:t>
      </w:r>
      <w:r w:rsidRPr="003D0AAB">
        <w:rPr>
          <w:rFonts w:ascii="Century Gothic" w:hAnsi="Century Gothic"/>
          <w:sz w:val="24"/>
          <w:szCs w:val="24"/>
          <w:lang w:val="en-GB" w:eastAsia="de-DE"/>
        </w:rPr>
        <w:t xml:space="preserve"> S</w:t>
      </w:r>
      <w:r>
        <w:rPr>
          <w:rFonts w:ascii="Century Gothic" w:hAnsi="Century Gothic"/>
          <w:sz w:val="24"/>
          <w:szCs w:val="24"/>
          <w:lang w:val="en-GB" w:eastAsia="de-DE"/>
        </w:rPr>
        <w:t>4: Sepsis 90-day mortality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"/>
        <w:gridCol w:w="8596"/>
        <w:gridCol w:w="313"/>
        <w:gridCol w:w="1185"/>
        <w:gridCol w:w="693"/>
        <w:gridCol w:w="1122"/>
        <w:gridCol w:w="660"/>
      </w:tblGrid>
      <w:tr w:rsidR="008C1052" w:rsidRPr="001E7CD8" w:rsidTr="008C1052">
        <w:trPr>
          <w:trHeight w:val="330"/>
        </w:trPr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bookmarkStart w:id="1" w:name="_GoBack"/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Author</w:t>
            </w:r>
          </w:p>
        </w:tc>
        <w:tc>
          <w:tcPr>
            <w:tcW w:w="17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Titel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Year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Method for ROB Assessment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Risk of Bias  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Study type</w:t>
            </w: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Country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Dulhunty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 Multicenter Randomized Trial of Continuous versus Intermittent beta-Lactam Infusion in Severe Sepsis.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Australia, Asia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Elke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Enteral nutrition is associated with improved outcome in patients with severe sepsis. A secondary analysis of the VISEP trial.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Guidet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Assessment of hemodynamic efficacy and safety of 6% hydroxyethylstarch 130/0.4 vs. 0.9% NaCl fluid replacement in patients with severe sepsis: the CRYSTMAS study.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multi-country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Guntupalli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 phase 2 randomized, double-blind, placebo-controlled study of the safety and efficacy of talactoferrin in patients with severe sepsis.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Some oncern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Han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Ulinastatin- and thymosin alpha1-based immunomodulatory strategy for sepsis: A meta-analysis.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Johans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en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Profound endothelial damage predicts impending organ failure and death in sepsis.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15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ROBINS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e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RCT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Denmar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k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Kaffarnik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Early diagnosis of sepsis-related hepatic dysfunction and its prognostic impact on survival: a prospective study with the LiMAx test.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Serious 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Keh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Effect of Hydrocortisone on Development of Shock Among Patients With Severe Sepsis: The HYPRESS Randomized Clinical Trial.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Khoury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The prognostic value of brain natriuretic peptide (BNP) in non-cardiac patients with sepsis, ultra-long follow-up.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Israel 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Koch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Regulation and prognostic relevance of serum ghrelin concentrations in critical illness and sepsis.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Kristof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Anaemia requiring red blood cell transfusion is associated with unfavourable 90-day survival in surgical patients with sepsis.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2018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Kruger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A multicenter randomized trial of atorvastatin therapy in intensive care patients with severe sepsis.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multi-country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Mansur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Tahoma" w:eastAsia="Times New Roman" w:hAnsi="Tahoma" w:cs="Tahoma"/>
                <w:color w:val="000000"/>
                <w:lang w:eastAsia="de-DE"/>
              </w:rPr>
              <w:t>﻿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Primary bacteraemia is associated with a higher mortality risk compared with pulmonary and intra-abdominal infections in patients with sepsis: a prospective observational cohort study.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Prescott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Variation in Postsepsis Readmission Patterns: A Cohort Study of Veterans Affairs  Beneficiaries.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Prescott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Late mortality after sepsis: propensity matched cohort study.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retrospective cohort study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US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Wiewel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Tahoma" w:eastAsia="Times New Roman" w:hAnsi="Tahoma" w:cs="Tahoma"/>
                <w:color w:val="000000"/>
                <w:lang w:eastAsia="de-DE"/>
              </w:rPr>
              <w:t>﻿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Chronic antiplatelet therapy is not associated with alterations in the presentation, outcome, or host response biomarkers during sepsis: a propensity-matched analysis.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other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Netherlands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Sponholz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Gene polymorphisms in the heme degradation pathway and outcome of severe human sepsis.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Serious 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Germany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Simon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Plasma adrenomedullin in critically ill patients with sepsis after major surgery: A pilot study.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multi-country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Serpa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Fluid resuscitation with hydroxyethyl starches in patients with sepsis is associated with an increased incidence of acute kidney injury and use of renal replacement therapy: a systematic review and meta-analysis of the literature.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 -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Scicluna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Classification of patients with sepsis according to blood genomic endotype: a prospective cohort study.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multi-country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Savioli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Tight glycemic control may favor fibrinolysis in patients with sepsis.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2009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Some concern 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Italy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Tsaganos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Clarithromycin Leads to Long-Term Survival and Cost Benefit in Ventilator-Associated Pneumonia and Sepsis.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RCT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Greece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Tulloc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h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Tahoma" w:eastAsia="Times New Roman" w:hAnsi="Tahoma" w:cs="Tahoma"/>
                <w:color w:val="000000"/>
                <w:lang w:eastAsia="de-DE"/>
              </w:rPr>
              <w:lastRenderedPageBreak/>
              <w:t>﻿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Epidemiology and Microbiology of Sepsis Syndromes in a University-Affiliated Urban Teaching Hospital and Level-1 Trauma and Burn Center.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17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ROBINS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 xml:space="preserve">prosp. cohort 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study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US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lastRenderedPageBreak/>
              <w:t>van Vught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Tahoma" w:eastAsia="Times New Roman" w:hAnsi="Tahoma" w:cs="Tahoma"/>
                <w:color w:val="000000"/>
                <w:lang w:eastAsia="de-DE"/>
              </w:rPr>
              <w:t>﻿</w:t>
            </w: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Incidence, Risk Factors, and Attributable Mortality of Secondary Infections in the Intensive Care Unit After Admission for Sepsis.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2016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ROBINS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Moderate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prosp. cohort study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Netherlands</w:t>
            </w:r>
          </w:p>
        </w:tc>
      </w:tr>
      <w:tr w:rsidR="008C1052" w:rsidRPr="001E7CD8" w:rsidTr="008C1052">
        <w:trPr>
          <w:trHeight w:val="330"/>
        </w:trPr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Volbeda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Glucocorticosteroids for sepsis: systematic review with meta-analysis and trial sequential analysis.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2015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Low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52" w:rsidRPr="001E7CD8" w:rsidRDefault="008C1052" w:rsidP="0069032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de-DE"/>
              </w:rPr>
            </w:pPr>
            <w:r w:rsidRPr="001E7CD8">
              <w:rPr>
                <w:rFonts w:ascii="Century Gothic" w:eastAsia="Times New Roman" w:hAnsi="Century Gothic" w:cs="Calibri"/>
                <w:color w:val="000000"/>
                <w:lang w:eastAsia="de-DE"/>
              </w:rPr>
              <w:t>Meta-analysis</w:t>
            </w:r>
          </w:p>
        </w:tc>
      </w:tr>
      <w:bookmarkEnd w:id="1"/>
    </w:tbl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  <w:r>
        <w:rPr>
          <w:rFonts w:ascii="Century Gothic" w:hAnsi="Century Gothic"/>
          <w:b/>
          <w:bCs/>
          <w:lang w:val="en-GB"/>
        </w:rPr>
        <w:t>Detailed risk of bias assessments for each study (RoB 2 for RCTs, ROBIN-I for observational studies) is available via the corresponding author for reasonable request.</w:t>
      </w:r>
    </w:p>
    <w:p w:rsidR="008C1052" w:rsidRDefault="008C1052" w:rsidP="008C1052">
      <w:pPr>
        <w:rPr>
          <w:rFonts w:ascii="Century Gothic" w:hAnsi="Century Gothic"/>
          <w:b/>
          <w:bCs/>
          <w:lang w:val="en-GB"/>
        </w:rPr>
      </w:pPr>
    </w:p>
    <w:p w:rsidR="00EA0E8E" w:rsidRDefault="00EA0E8E"/>
    <w:sectPr w:rsidR="00EA0E8E" w:rsidSect="008C1052">
      <w:footerReference w:type="even" r:id="rId6"/>
      <w:footerReference w:type="default" r:id="rId7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(Textkörper)">
    <w:altName w:val="Calibri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74802567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E5955" w:rsidRDefault="0068086B" w:rsidP="00FD0E2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AE5955" w:rsidRDefault="0068086B" w:rsidP="00AE595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66203591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E5955" w:rsidRDefault="0068086B" w:rsidP="00FD0E2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26</w:t>
        </w:r>
        <w:r>
          <w:rPr>
            <w:rStyle w:val="PageNumber"/>
          </w:rPr>
          <w:fldChar w:fldCharType="end"/>
        </w:r>
      </w:p>
    </w:sdtContent>
  </w:sdt>
  <w:p w:rsidR="00AE5955" w:rsidRDefault="0068086B" w:rsidP="00AE5955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528FB"/>
    <w:multiLevelType w:val="multilevel"/>
    <w:tmpl w:val="76EA65B4"/>
    <w:lvl w:ilvl="0">
      <w:start w:val="1"/>
      <w:numFmt w:val="decimal"/>
      <w:lvlText w:val="%1."/>
      <w:lvlJc w:val="left"/>
      <w:pPr>
        <w:ind w:left="719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1151" w:hanging="432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158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9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79" w:hanging="1440"/>
      </w:pPr>
      <w:rPr>
        <w:rFonts w:hint="default"/>
      </w:rPr>
    </w:lvl>
  </w:abstractNum>
  <w:abstractNum w:abstractNumId="1">
    <w:nsid w:val="1A793A7D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2FC83B4A"/>
    <w:multiLevelType w:val="hybridMultilevel"/>
    <w:tmpl w:val="C25A7102"/>
    <w:lvl w:ilvl="0" w:tplc="B9743798">
      <w:start w:val="1"/>
      <w:numFmt w:val="upperLetter"/>
      <w:lvlText w:val="%1)"/>
      <w:lvlJc w:val="left"/>
      <w:pPr>
        <w:ind w:left="720" w:hanging="360"/>
      </w:pPr>
      <w:rPr>
        <w:rFonts w:ascii="Century Gothic" w:hAnsi="Century Gothic" w:hint="default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751BC5"/>
    <w:multiLevelType w:val="hybridMultilevel"/>
    <w:tmpl w:val="2450553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CB873C1"/>
    <w:multiLevelType w:val="hybridMultilevel"/>
    <w:tmpl w:val="3862593E"/>
    <w:lvl w:ilvl="0" w:tplc="FFB8E5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052"/>
    <w:rsid w:val="0005486D"/>
    <w:rsid w:val="001D3BDC"/>
    <w:rsid w:val="0068086B"/>
    <w:rsid w:val="007C4E49"/>
    <w:rsid w:val="008C1052"/>
    <w:rsid w:val="00EA0E8E"/>
    <w:rsid w:val="00ED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1052"/>
    <w:pPr>
      <w:keepNext/>
      <w:keepLines/>
      <w:spacing w:before="240" w:after="240" w:line="240" w:lineRule="auto"/>
      <w:outlineLvl w:val="0"/>
    </w:pPr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de-DE" w:eastAsia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1052"/>
    <w:pPr>
      <w:keepNext/>
      <w:keepLines/>
      <w:numPr>
        <w:ilvl w:val="1"/>
        <w:numId w:val="4"/>
      </w:numPr>
      <w:spacing w:before="240" w:after="240" w:line="240" w:lineRule="auto"/>
      <w:contextualSpacing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de-DE" w:eastAsia="de-DE"/>
    </w:rPr>
  </w:style>
  <w:style w:type="paragraph" w:styleId="Heading3">
    <w:name w:val="heading 3"/>
    <w:basedOn w:val="Heading2"/>
    <w:link w:val="Heading3Char"/>
    <w:uiPriority w:val="9"/>
    <w:qFormat/>
    <w:rsid w:val="008C1052"/>
    <w:pPr>
      <w:numPr>
        <w:ilvl w:val="2"/>
      </w:num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Cs/>
      <w:i/>
      <w:sz w:val="21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052"/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de-DE"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8C105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de-DE" w:eastAsia="de-DE"/>
    </w:rPr>
  </w:style>
  <w:style w:type="character" w:customStyle="1" w:styleId="Heading3Char">
    <w:name w:val="Heading 3 Char"/>
    <w:basedOn w:val="DefaultParagraphFont"/>
    <w:link w:val="Heading3"/>
    <w:uiPriority w:val="9"/>
    <w:rsid w:val="008C1052"/>
    <w:rPr>
      <w:rFonts w:ascii="Times New Roman" w:eastAsia="Times New Roman" w:hAnsi="Times New Roman" w:cs="Times New Roman"/>
      <w:bCs/>
      <w:i/>
      <w:color w:val="365F91" w:themeColor="accent1" w:themeShade="BF"/>
      <w:sz w:val="21"/>
      <w:szCs w:val="27"/>
      <w:lang w:val="de-DE" w:eastAsia="de-DE"/>
    </w:rPr>
  </w:style>
  <w:style w:type="table" w:styleId="TableGrid">
    <w:name w:val="Table Grid"/>
    <w:basedOn w:val="TableNormal"/>
    <w:uiPriority w:val="39"/>
    <w:rsid w:val="008C1052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1052"/>
    <w:pPr>
      <w:spacing w:after="0" w:line="240" w:lineRule="auto"/>
    </w:pPr>
    <w:rPr>
      <w:rFonts w:ascii="Segoe UI" w:hAnsi="Segoe UI" w:cs="Segoe UI"/>
      <w:sz w:val="18"/>
      <w:szCs w:val="18"/>
      <w:lang w:val="de-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052"/>
    <w:rPr>
      <w:rFonts w:ascii="Segoe UI" w:hAnsi="Segoe UI" w:cs="Segoe UI"/>
      <w:sz w:val="18"/>
      <w:szCs w:val="18"/>
      <w:lang w:val="de-DE"/>
    </w:rPr>
  </w:style>
  <w:style w:type="paragraph" w:styleId="ListParagraph">
    <w:name w:val="List Paragraph"/>
    <w:basedOn w:val="Normal"/>
    <w:uiPriority w:val="34"/>
    <w:qFormat/>
    <w:rsid w:val="008C1052"/>
    <w:pPr>
      <w:spacing w:after="160" w:line="259" w:lineRule="auto"/>
      <w:ind w:left="720"/>
      <w:contextualSpacing/>
    </w:pPr>
    <w:rPr>
      <w:lang w:val="de-DE"/>
    </w:rPr>
  </w:style>
  <w:style w:type="paragraph" w:styleId="NormalWeb">
    <w:name w:val="Normal (Web)"/>
    <w:basedOn w:val="Normal"/>
    <w:uiPriority w:val="99"/>
    <w:unhideWhenUsed/>
    <w:rsid w:val="008C1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val="de-DE" w:eastAsia="de-D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C1052"/>
    <w:pPr>
      <w:spacing w:line="240" w:lineRule="auto"/>
    </w:pPr>
    <w:rPr>
      <w:i/>
      <w:iCs/>
      <w:color w:val="1F497D" w:themeColor="text2"/>
      <w:sz w:val="18"/>
      <w:szCs w:val="18"/>
      <w:lang w:val="de-DE"/>
    </w:rPr>
  </w:style>
  <w:style w:type="paragraph" w:styleId="TOCHeading">
    <w:name w:val="TOC Heading"/>
    <w:basedOn w:val="Heading1"/>
    <w:next w:val="Normal"/>
    <w:uiPriority w:val="39"/>
    <w:unhideWhenUsed/>
    <w:qFormat/>
    <w:rsid w:val="008C1052"/>
    <w:pPr>
      <w:spacing w:before="480" w:after="0" w:line="276" w:lineRule="auto"/>
      <w:outlineLvl w:val="9"/>
    </w:pPr>
    <w:rPr>
      <w:bCs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8C1052"/>
    <w:pPr>
      <w:spacing w:before="360" w:after="360" w:line="259" w:lineRule="auto"/>
    </w:pPr>
    <w:rPr>
      <w:b/>
      <w:bCs/>
      <w:caps/>
      <w:u w:val="single"/>
      <w:lang w:val="de-DE"/>
    </w:rPr>
  </w:style>
  <w:style w:type="paragraph" w:styleId="TOC3">
    <w:name w:val="toc 3"/>
    <w:basedOn w:val="Normal"/>
    <w:next w:val="Normal"/>
    <w:autoRedefine/>
    <w:uiPriority w:val="39"/>
    <w:unhideWhenUsed/>
    <w:rsid w:val="008C1052"/>
    <w:pPr>
      <w:spacing w:after="0" w:line="259" w:lineRule="auto"/>
    </w:pPr>
    <w:rPr>
      <w:smallCaps/>
      <w:lang w:val="de-DE"/>
    </w:rPr>
  </w:style>
  <w:style w:type="character" w:styleId="Hyperlink">
    <w:name w:val="Hyperlink"/>
    <w:basedOn w:val="DefaultParagraphFont"/>
    <w:uiPriority w:val="99"/>
    <w:unhideWhenUsed/>
    <w:rsid w:val="008C1052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C1052"/>
    <w:pPr>
      <w:spacing w:after="0" w:line="259" w:lineRule="auto"/>
    </w:pPr>
    <w:rPr>
      <w:b/>
      <w:bCs/>
      <w:smallCaps/>
      <w:lang w:val="de-D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8C1052"/>
    <w:pPr>
      <w:spacing w:after="0" w:line="259" w:lineRule="auto"/>
    </w:pPr>
    <w:rPr>
      <w:lang w:val="de-DE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8C1052"/>
    <w:pPr>
      <w:spacing w:after="0" w:line="259" w:lineRule="auto"/>
    </w:pPr>
    <w:rPr>
      <w:lang w:val="de-DE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8C1052"/>
    <w:pPr>
      <w:spacing w:after="0" w:line="259" w:lineRule="auto"/>
    </w:pPr>
    <w:rPr>
      <w:lang w:val="de-DE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8C1052"/>
    <w:pPr>
      <w:spacing w:after="0" w:line="259" w:lineRule="auto"/>
    </w:pPr>
    <w:rPr>
      <w:lang w:val="de-DE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8C1052"/>
    <w:pPr>
      <w:spacing w:after="0" w:line="259" w:lineRule="auto"/>
    </w:pPr>
    <w:rPr>
      <w:lang w:val="de-DE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8C1052"/>
    <w:pPr>
      <w:spacing w:after="0" w:line="259" w:lineRule="auto"/>
    </w:pPr>
    <w:rPr>
      <w:lang w:val="de-DE"/>
    </w:rPr>
  </w:style>
  <w:style w:type="character" w:styleId="FollowedHyperlink">
    <w:name w:val="FollowedHyperlink"/>
    <w:basedOn w:val="DefaultParagraphFont"/>
    <w:uiPriority w:val="99"/>
    <w:semiHidden/>
    <w:unhideWhenUsed/>
    <w:rsid w:val="008C1052"/>
    <w:rPr>
      <w:color w:val="954F72"/>
      <w:u w:val="single"/>
    </w:rPr>
  </w:style>
  <w:style w:type="paragraph" w:customStyle="1" w:styleId="msonormal0">
    <w:name w:val="msonormal"/>
    <w:basedOn w:val="Normal"/>
    <w:rsid w:val="008C1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xl65">
    <w:name w:val="xl65"/>
    <w:basedOn w:val="Normal"/>
    <w:rsid w:val="008C1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xl66">
    <w:name w:val="xl66"/>
    <w:basedOn w:val="Normal"/>
    <w:rsid w:val="008C1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xl67">
    <w:name w:val="xl67"/>
    <w:basedOn w:val="Normal"/>
    <w:rsid w:val="008C1052"/>
    <w:pPr>
      <w:spacing w:before="100" w:beforeAutospacing="1" w:after="100" w:afterAutospacing="1" w:line="240" w:lineRule="auto"/>
    </w:pPr>
    <w:rPr>
      <w:rFonts w:ascii="Calibri (Textkörper)" w:eastAsia="Times New Roman" w:hAnsi="Calibri (Textkörper)" w:cs="Times New Roman"/>
      <w:sz w:val="24"/>
      <w:szCs w:val="24"/>
      <w:lang w:val="de-DE" w:eastAsia="de-DE"/>
    </w:rPr>
  </w:style>
  <w:style w:type="paragraph" w:customStyle="1" w:styleId="xl68">
    <w:name w:val="xl68"/>
    <w:basedOn w:val="Normal"/>
    <w:rsid w:val="008C1052"/>
    <w:pPr>
      <w:spacing w:before="100" w:beforeAutospacing="1" w:after="100" w:afterAutospacing="1" w:line="240" w:lineRule="auto"/>
    </w:pPr>
    <w:rPr>
      <w:rFonts w:ascii="Calibri (Textkörper)" w:eastAsia="Times New Roman" w:hAnsi="Calibri (Textkörper)" w:cs="Times New Roman"/>
      <w:color w:val="000000"/>
      <w:sz w:val="24"/>
      <w:szCs w:val="24"/>
      <w:lang w:val="de-DE" w:eastAsia="de-DE"/>
    </w:rPr>
  </w:style>
  <w:style w:type="paragraph" w:customStyle="1" w:styleId="xl69">
    <w:name w:val="xl69"/>
    <w:basedOn w:val="Normal"/>
    <w:rsid w:val="008C1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de-DE" w:eastAsia="de-DE"/>
    </w:rPr>
  </w:style>
  <w:style w:type="paragraph" w:customStyle="1" w:styleId="xl70">
    <w:name w:val="xl70"/>
    <w:basedOn w:val="Normal"/>
    <w:rsid w:val="008C1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xl71">
    <w:name w:val="xl71"/>
    <w:basedOn w:val="Normal"/>
    <w:rsid w:val="008C1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de-DE" w:eastAsia="de-D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C1052"/>
    <w:rPr>
      <w:color w:val="605E5C"/>
      <w:shd w:val="clear" w:color="auto" w:fill="E1DFDD"/>
    </w:rPr>
  </w:style>
  <w:style w:type="table" w:customStyle="1" w:styleId="PlainTable4">
    <w:name w:val="Plain Table 4"/>
    <w:basedOn w:val="TableNormal"/>
    <w:uiPriority w:val="44"/>
    <w:rsid w:val="008C1052"/>
    <w:pPr>
      <w:spacing w:after="0" w:line="240" w:lineRule="auto"/>
    </w:pPr>
    <w:rPr>
      <w:lang w:val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8C1052"/>
    <w:pPr>
      <w:tabs>
        <w:tab w:val="center" w:pos="4536"/>
        <w:tab w:val="right" w:pos="9072"/>
      </w:tabs>
      <w:spacing w:after="0" w:line="240" w:lineRule="auto"/>
    </w:pPr>
    <w:rPr>
      <w:lang w:val="de-DE"/>
    </w:rPr>
  </w:style>
  <w:style w:type="character" w:customStyle="1" w:styleId="HeaderChar">
    <w:name w:val="Header Char"/>
    <w:basedOn w:val="DefaultParagraphFont"/>
    <w:link w:val="Header"/>
    <w:uiPriority w:val="99"/>
    <w:rsid w:val="008C1052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8C1052"/>
    <w:pPr>
      <w:tabs>
        <w:tab w:val="center" w:pos="4536"/>
        <w:tab w:val="right" w:pos="9072"/>
      </w:tabs>
      <w:spacing w:after="0" w:line="240" w:lineRule="auto"/>
    </w:pPr>
    <w:rPr>
      <w:lang w:val="de-DE"/>
    </w:rPr>
  </w:style>
  <w:style w:type="character" w:customStyle="1" w:styleId="FooterChar">
    <w:name w:val="Footer Char"/>
    <w:basedOn w:val="DefaultParagraphFont"/>
    <w:link w:val="Footer"/>
    <w:uiPriority w:val="99"/>
    <w:rsid w:val="008C1052"/>
    <w:rPr>
      <w:lang w:val="de-DE"/>
    </w:rPr>
  </w:style>
  <w:style w:type="character" w:styleId="PageNumber">
    <w:name w:val="page number"/>
    <w:basedOn w:val="DefaultParagraphFont"/>
    <w:uiPriority w:val="99"/>
    <w:semiHidden/>
    <w:unhideWhenUsed/>
    <w:rsid w:val="008C10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1052"/>
    <w:pPr>
      <w:keepNext/>
      <w:keepLines/>
      <w:spacing w:before="240" w:after="240" w:line="240" w:lineRule="auto"/>
      <w:outlineLvl w:val="0"/>
    </w:pPr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de-DE" w:eastAsia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1052"/>
    <w:pPr>
      <w:keepNext/>
      <w:keepLines/>
      <w:numPr>
        <w:ilvl w:val="1"/>
        <w:numId w:val="4"/>
      </w:numPr>
      <w:spacing w:before="240" w:after="240" w:line="240" w:lineRule="auto"/>
      <w:contextualSpacing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de-DE" w:eastAsia="de-DE"/>
    </w:rPr>
  </w:style>
  <w:style w:type="paragraph" w:styleId="Heading3">
    <w:name w:val="heading 3"/>
    <w:basedOn w:val="Heading2"/>
    <w:link w:val="Heading3Char"/>
    <w:uiPriority w:val="9"/>
    <w:qFormat/>
    <w:rsid w:val="008C1052"/>
    <w:pPr>
      <w:numPr>
        <w:ilvl w:val="2"/>
      </w:num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Cs/>
      <w:i/>
      <w:sz w:val="21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052"/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de-DE"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8C105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de-DE" w:eastAsia="de-DE"/>
    </w:rPr>
  </w:style>
  <w:style w:type="character" w:customStyle="1" w:styleId="Heading3Char">
    <w:name w:val="Heading 3 Char"/>
    <w:basedOn w:val="DefaultParagraphFont"/>
    <w:link w:val="Heading3"/>
    <w:uiPriority w:val="9"/>
    <w:rsid w:val="008C1052"/>
    <w:rPr>
      <w:rFonts w:ascii="Times New Roman" w:eastAsia="Times New Roman" w:hAnsi="Times New Roman" w:cs="Times New Roman"/>
      <w:bCs/>
      <w:i/>
      <w:color w:val="365F91" w:themeColor="accent1" w:themeShade="BF"/>
      <w:sz w:val="21"/>
      <w:szCs w:val="27"/>
      <w:lang w:val="de-DE" w:eastAsia="de-DE"/>
    </w:rPr>
  </w:style>
  <w:style w:type="table" w:styleId="TableGrid">
    <w:name w:val="Table Grid"/>
    <w:basedOn w:val="TableNormal"/>
    <w:uiPriority w:val="39"/>
    <w:rsid w:val="008C1052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1052"/>
    <w:pPr>
      <w:spacing w:after="0" w:line="240" w:lineRule="auto"/>
    </w:pPr>
    <w:rPr>
      <w:rFonts w:ascii="Segoe UI" w:hAnsi="Segoe UI" w:cs="Segoe UI"/>
      <w:sz w:val="18"/>
      <w:szCs w:val="18"/>
      <w:lang w:val="de-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052"/>
    <w:rPr>
      <w:rFonts w:ascii="Segoe UI" w:hAnsi="Segoe UI" w:cs="Segoe UI"/>
      <w:sz w:val="18"/>
      <w:szCs w:val="18"/>
      <w:lang w:val="de-DE"/>
    </w:rPr>
  </w:style>
  <w:style w:type="paragraph" w:styleId="ListParagraph">
    <w:name w:val="List Paragraph"/>
    <w:basedOn w:val="Normal"/>
    <w:uiPriority w:val="34"/>
    <w:qFormat/>
    <w:rsid w:val="008C1052"/>
    <w:pPr>
      <w:spacing w:after="160" w:line="259" w:lineRule="auto"/>
      <w:ind w:left="720"/>
      <w:contextualSpacing/>
    </w:pPr>
    <w:rPr>
      <w:lang w:val="de-DE"/>
    </w:rPr>
  </w:style>
  <w:style w:type="paragraph" w:styleId="NormalWeb">
    <w:name w:val="Normal (Web)"/>
    <w:basedOn w:val="Normal"/>
    <w:uiPriority w:val="99"/>
    <w:unhideWhenUsed/>
    <w:rsid w:val="008C1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val="de-DE" w:eastAsia="de-D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C1052"/>
    <w:pPr>
      <w:spacing w:line="240" w:lineRule="auto"/>
    </w:pPr>
    <w:rPr>
      <w:i/>
      <w:iCs/>
      <w:color w:val="1F497D" w:themeColor="text2"/>
      <w:sz w:val="18"/>
      <w:szCs w:val="18"/>
      <w:lang w:val="de-DE"/>
    </w:rPr>
  </w:style>
  <w:style w:type="paragraph" w:styleId="TOCHeading">
    <w:name w:val="TOC Heading"/>
    <w:basedOn w:val="Heading1"/>
    <w:next w:val="Normal"/>
    <w:uiPriority w:val="39"/>
    <w:unhideWhenUsed/>
    <w:qFormat/>
    <w:rsid w:val="008C1052"/>
    <w:pPr>
      <w:spacing w:before="480" w:after="0" w:line="276" w:lineRule="auto"/>
      <w:outlineLvl w:val="9"/>
    </w:pPr>
    <w:rPr>
      <w:bCs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8C1052"/>
    <w:pPr>
      <w:spacing w:before="360" w:after="360" w:line="259" w:lineRule="auto"/>
    </w:pPr>
    <w:rPr>
      <w:b/>
      <w:bCs/>
      <w:caps/>
      <w:u w:val="single"/>
      <w:lang w:val="de-DE"/>
    </w:rPr>
  </w:style>
  <w:style w:type="paragraph" w:styleId="TOC3">
    <w:name w:val="toc 3"/>
    <w:basedOn w:val="Normal"/>
    <w:next w:val="Normal"/>
    <w:autoRedefine/>
    <w:uiPriority w:val="39"/>
    <w:unhideWhenUsed/>
    <w:rsid w:val="008C1052"/>
    <w:pPr>
      <w:spacing w:after="0" w:line="259" w:lineRule="auto"/>
    </w:pPr>
    <w:rPr>
      <w:smallCaps/>
      <w:lang w:val="de-DE"/>
    </w:rPr>
  </w:style>
  <w:style w:type="character" w:styleId="Hyperlink">
    <w:name w:val="Hyperlink"/>
    <w:basedOn w:val="DefaultParagraphFont"/>
    <w:uiPriority w:val="99"/>
    <w:unhideWhenUsed/>
    <w:rsid w:val="008C1052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C1052"/>
    <w:pPr>
      <w:spacing w:after="0" w:line="259" w:lineRule="auto"/>
    </w:pPr>
    <w:rPr>
      <w:b/>
      <w:bCs/>
      <w:smallCaps/>
      <w:lang w:val="de-D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8C1052"/>
    <w:pPr>
      <w:spacing w:after="0" w:line="259" w:lineRule="auto"/>
    </w:pPr>
    <w:rPr>
      <w:lang w:val="de-DE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8C1052"/>
    <w:pPr>
      <w:spacing w:after="0" w:line="259" w:lineRule="auto"/>
    </w:pPr>
    <w:rPr>
      <w:lang w:val="de-DE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8C1052"/>
    <w:pPr>
      <w:spacing w:after="0" w:line="259" w:lineRule="auto"/>
    </w:pPr>
    <w:rPr>
      <w:lang w:val="de-DE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8C1052"/>
    <w:pPr>
      <w:spacing w:after="0" w:line="259" w:lineRule="auto"/>
    </w:pPr>
    <w:rPr>
      <w:lang w:val="de-DE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8C1052"/>
    <w:pPr>
      <w:spacing w:after="0" w:line="259" w:lineRule="auto"/>
    </w:pPr>
    <w:rPr>
      <w:lang w:val="de-DE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8C1052"/>
    <w:pPr>
      <w:spacing w:after="0" w:line="259" w:lineRule="auto"/>
    </w:pPr>
    <w:rPr>
      <w:lang w:val="de-DE"/>
    </w:rPr>
  </w:style>
  <w:style w:type="character" w:styleId="FollowedHyperlink">
    <w:name w:val="FollowedHyperlink"/>
    <w:basedOn w:val="DefaultParagraphFont"/>
    <w:uiPriority w:val="99"/>
    <w:semiHidden/>
    <w:unhideWhenUsed/>
    <w:rsid w:val="008C1052"/>
    <w:rPr>
      <w:color w:val="954F72"/>
      <w:u w:val="single"/>
    </w:rPr>
  </w:style>
  <w:style w:type="paragraph" w:customStyle="1" w:styleId="msonormal0">
    <w:name w:val="msonormal"/>
    <w:basedOn w:val="Normal"/>
    <w:rsid w:val="008C1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xl65">
    <w:name w:val="xl65"/>
    <w:basedOn w:val="Normal"/>
    <w:rsid w:val="008C1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xl66">
    <w:name w:val="xl66"/>
    <w:basedOn w:val="Normal"/>
    <w:rsid w:val="008C1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xl67">
    <w:name w:val="xl67"/>
    <w:basedOn w:val="Normal"/>
    <w:rsid w:val="008C1052"/>
    <w:pPr>
      <w:spacing w:before="100" w:beforeAutospacing="1" w:after="100" w:afterAutospacing="1" w:line="240" w:lineRule="auto"/>
    </w:pPr>
    <w:rPr>
      <w:rFonts w:ascii="Calibri (Textkörper)" w:eastAsia="Times New Roman" w:hAnsi="Calibri (Textkörper)" w:cs="Times New Roman"/>
      <w:sz w:val="24"/>
      <w:szCs w:val="24"/>
      <w:lang w:val="de-DE" w:eastAsia="de-DE"/>
    </w:rPr>
  </w:style>
  <w:style w:type="paragraph" w:customStyle="1" w:styleId="xl68">
    <w:name w:val="xl68"/>
    <w:basedOn w:val="Normal"/>
    <w:rsid w:val="008C1052"/>
    <w:pPr>
      <w:spacing w:before="100" w:beforeAutospacing="1" w:after="100" w:afterAutospacing="1" w:line="240" w:lineRule="auto"/>
    </w:pPr>
    <w:rPr>
      <w:rFonts w:ascii="Calibri (Textkörper)" w:eastAsia="Times New Roman" w:hAnsi="Calibri (Textkörper)" w:cs="Times New Roman"/>
      <w:color w:val="000000"/>
      <w:sz w:val="24"/>
      <w:szCs w:val="24"/>
      <w:lang w:val="de-DE" w:eastAsia="de-DE"/>
    </w:rPr>
  </w:style>
  <w:style w:type="paragraph" w:customStyle="1" w:styleId="xl69">
    <w:name w:val="xl69"/>
    <w:basedOn w:val="Normal"/>
    <w:rsid w:val="008C1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de-DE" w:eastAsia="de-DE"/>
    </w:rPr>
  </w:style>
  <w:style w:type="paragraph" w:customStyle="1" w:styleId="xl70">
    <w:name w:val="xl70"/>
    <w:basedOn w:val="Normal"/>
    <w:rsid w:val="008C1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xl71">
    <w:name w:val="xl71"/>
    <w:basedOn w:val="Normal"/>
    <w:rsid w:val="008C1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de-DE" w:eastAsia="de-D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C1052"/>
    <w:rPr>
      <w:color w:val="605E5C"/>
      <w:shd w:val="clear" w:color="auto" w:fill="E1DFDD"/>
    </w:rPr>
  </w:style>
  <w:style w:type="table" w:customStyle="1" w:styleId="PlainTable4">
    <w:name w:val="Plain Table 4"/>
    <w:basedOn w:val="TableNormal"/>
    <w:uiPriority w:val="44"/>
    <w:rsid w:val="008C1052"/>
    <w:pPr>
      <w:spacing w:after="0" w:line="240" w:lineRule="auto"/>
    </w:pPr>
    <w:rPr>
      <w:lang w:val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8C1052"/>
    <w:pPr>
      <w:tabs>
        <w:tab w:val="center" w:pos="4536"/>
        <w:tab w:val="right" w:pos="9072"/>
      </w:tabs>
      <w:spacing w:after="0" w:line="240" w:lineRule="auto"/>
    </w:pPr>
    <w:rPr>
      <w:lang w:val="de-DE"/>
    </w:rPr>
  </w:style>
  <w:style w:type="character" w:customStyle="1" w:styleId="HeaderChar">
    <w:name w:val="Header Char"/>
    <w:basedOn w:val="DefaultParagraphFont"/>
    <w:link w:val="Header"/>
    <w:uiPriority w:val="99"/>
    <w:rsid w:val="008C1052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8C1052"/>
    <w:pPr>
      <w:tabs>
        <w:tab w:val="center" w:pos="4536"/>
        <w:tab w:val="right" w:pos="9072"/>
      </w:tabs>
      <w:spacing w:after="0" w:line="240" w:lineRule="auto"/>
    </w:pPr>
    <w:rPr>
      <w:lang w:val="de-DE"/>
    </w:rPr>
  </w:style>
  <w:style w:type="character" w:customStyle="1" w:styleId="FooterChar">
    <w:name w:val="Footer Char"/>
    <w:basedOn w:val="DefaultParagraphFont"/>
    <w:link w:val="Footer"/>
    <w:uiPriority w:val="99"/>
    <w:rsid w:val="008C1052"/>
    <w:rPr>
      <w:lang w:val="de-DE"/>
    </w:rPr>
  </w:style>
  <w:style w:type="character" w:styleId="PageNumber">
    <w:name w:val="page number"/>
    <w:basedOn w:val="DefaultParagraphFont"/>
    <w:uiPriority w:val="99"/>
    <w:semiHidden/>
    <w:unhideWhenUsed/>
    <w:rsid w:val="008C10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5475</Words>
  <Characters>31210</Characters>
  <Application>Microsoft Office Word</Application>
  <DocSecurity>0</DocSecurity>
  <Lines>260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AFRENACIA</cp:lastModifiedBy>
  <cp:revision>2</cp:revision>
  <dcterms:created xsi:type="dcterms:W3CDTF">2020-05-10T04:56:00Z</dcterms:created>
  <dcterms:modified xsi:type="dcterms:W3CDTF">2020-05-10T04:56:00Z</dcterms:modified>
</cp:coreProperties>
</file>