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B79" w:rsidRPr="00B04B79" w:rsidRDefault="00B04B79" w:rsidP="00B04B79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04B79">
        <w:rPr>
          <w:rFonts w:ascii="Times New Roman" w:hAnsi="Times New Roman" w:cs="Times New Roman"/>
          <w:b/>
          <w:bCs/>
          <w:sz w:val="36"/>
          <w:szCs w:val="36"/>
          <w:u w:val="single"/>
        </w:rPr>
        <w:t>Supplemental Material</w:t>
      </w:r>
    </w:p>
    <w:p w:rsidR="00B04B79" w:rsidRDefault="00B04B79" w:rsidP="00B04B7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04B79" w:rsidRPr="001134F8" w:rsidRDefault="00B04B79" w:rsidP="00B04B7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r w:rsidRPr="001134F8">
        <w:rPr>
          <w:rFonts w:ascii="Times New Roman" w:hAnsi="Times New Roman" w:cs="Times New Roman"/>
          <w:b/>
          <w:bCs/>
          <w:sz w:val="36"/>
          <w:szCs w:val="36"/>
        </w:rPr>
        <w:t>Multimodal non-invasive estimation of intracranial hypertension: an observational study</w:t>
      </w:r>
    </w:p>
    <w:p w:rsidR="00B04B79" w:rsidRPr="006F42DC" w:rsidRDefault="00B04B79" w:rsidP="00B04B79">
      <w:pPr>
        <w:rPr>
          <w:rFonts w:ascii="Times New Roman" w:hAnsi="Times New Roman" w:cs="Times New Roman"/>
        </w:rPr>
      </w:pPr>
    </w:p>
    <w:p w:rsidR="00B04B79" w:rsidRPr="006F42DC" w:rsidRDefault="00B04B79" w:rsidP="00B04B79">
      <w:pPr>
        <w:jc w:val="center"/>
        <w:rPr>
          <w:rFonts w:ascii="Times New Roman" w:hAnsi="Times New Roman" w:cs="Times New Roman"/>
          <w:i/>
        </w:rPr>
      </w:pPr>
    </w:p>
    <w:p w:rsidR="00B04B79" w:rsidRPr="006F42DC" w:rsidRDefault="00B04B79" w:rsidP="00B04B79">
      <w:pPr>
        <w:jc w:val="center"/>
        <w:rPr>
          <w:rFonts w:ascii="Times New Roman" w:hAnsi="Times New Roman" w:cs="Times New Roman"/>
          <w:i/>
          <w:lang w:val="fr-BE"/>
        </w:rPr>
      </w:pPr>
      <w:r w:rsidRPr="006F42DC">
        <w:rPr>
          <w:rFonts w:ascii="Times New Roman" w:hAnsi="Times New Roman" w:cs="Times New Roman"/>
          <w:i/>
          <w:lang w:val="fr-BE"/>
        </w:rPr>
        <w:t>Chiara ROBBA,</w:t>
      </w:r>
      <w:r w:rsidRPr="006F42DC">
        <w:rPr>
          <w:rFonts w:ascii="Times New Roman" w:hAnsi="Times New Roman" w:cs="Times New Roman"/>
          <w:i/>
          <w:vertAlign w:val="superscript"/>
          <w:lang w:val="fr-BE"/>
        </w:rPr>
        <w:t>1,2</w:t>
      </w:r>
      <w:r w:rsidRPr="006F42DC">
        <w:rPr>
          <w:rFonts w:ascii="Times New Roman" w:hAnsi="Times New Roman" w:cs="Times New Roman"/>
          <w:i/>
          <w:lang w:val="fr-BE"/>
        </w:rPr>
        <w:t xml:space="preserve"> Selene POZZEBON,</w:t>
      </w:r>
      <w:r w:rsidRPr="006F42DC">
        <w:rPr>
          <w:rFonts w:ascii="Times New Roman" w:hAnsi="Times New Roman" w:cs="Times New Roman"/>
          <w:i/>
          <w:vertAlign w:val="superscript"/>
          <w:lang w:val="fr-BE"/>
        </w:rPr>
        <w:t>3</w:t>
      </w:r>
      <w:r w:rsidRPr="006F42DC">
        <w:rPr>
          <w:rFonts w:ascii="Times New Roman" w:hAnsi="Times New Roman" w:cs="Times New Roman"/>
          <w:i/>
          <w:lang w:val="fr-BE"/>
        </w:rPr>
        <w:t xml:space="preserve"> Bedrana MORO,</w:t>
      </w:r>
      <w:r w:rsidRPr="006F42DC">
        <w:rPr>
          <w:rFonts w:ascii="Times New Roman" w:hAnsi="Times New Roman" w:cs="Times New Roman"/>
          <w:i/>
          <w:vertAlign w:val="superscript"/>
          <w:lang w:val="fr-BE"/>
        </w:rPr>
        <w:t xml:space="preserve"> 3</w:t>
      </w:r>
      <w:r w:rsidRPr="006F42DC">
        <w:rPr>
          <w:rFonts w:ascii="Times New Roman" w:hAnsi="Times New Roman" w:cs="Times New Roman"/>
          <w:i/>
          <w:lang w:val="fr-BE"/>
        </w:rPr>
        <w:t xml:space="preserve"> Jean-Louis VINCENT,</w:t>
      </w:r>
      <w:r w:rsidRPr="006F42DC">
        <w:rPr>
          <w:rFonts w:ascii="Times New Roman" w:hAnsi="Times New Roman" w:cs="Times New Roman"/>
          <w:i/>
          <w:vertAlign w:val="superscript"/>
          <w:lang w:val="fr-BE"/>
        </w:rPr>
        <w:t xml:space="preserve"> 3</w:t>
      </w:r>
      <w:r w:rsidRPr="006F42DC">
        <w:rPr>
          <w:rFonts w:ascii="Times New Roman" w:hAnsi="Times New Roman" w:cs="Times New Roman"/>
          <w:i/>
          <w:lang w:val="fr-BE"/>
        </w:rPr>
        <w:t xml:space="preserve"> Jacques CRETEUR,</w:t>
      </w:r>
      <w:r w:rsidRPr="006F42DC">
        <w:rPr>
          <w:rFonts w:ascii="Times New Roman" w:hAnsi="Times New Roman" w:cs="Times New Roman"/>
          <w:i/>
          <w:vertAlign w:val="superscript"/>
          <w:lang w:val="fr-BE"/>
        </w:rPr>
        <w:t xml:space="preserve"> 3</w:t>
      </w:r>
      <w:r w:rsidRPr="006F42DC">
        <w:rPr>
          <w:rFonts w:ascii="Times New Roman" w:hAnsi="Times New Roman" w:cs="Times New Roman"/>
          <w:i/>
          <w:lang w:val="fr-BE"/>
        </w:rPr>
        <w:t xml:space="preserve"> Fabio Silvio TACCONE</w:t>
      </w:r>
      <w:r w:rsidRPr="006F42DC">
        <w:rPr>
          <w:rFonts w:ascii="Times New Roman" w:hAnsi="Times New Roman" w:cs="Times New Roman"/>
          <w:i/>
          <w:vertAlign w:val="superscript"/>
          <w:lang w:val="fr-BE"/>
        </w:rPr>
        <w:t>3</w:t>
      </w:r>
    </w:p>
    <w:p w:rsidR="00B04B79" w:rsidRPr="006F42DC" w:rsidRDefault="00B04B79" w:rsidP="00B04B79">
      <w:pPr>
        <w:rPr>
          <w:rFonts w:ascii="Times New Roman" w:hAnsi="Times New Roman" w:cs="Times New Roman"/>
          <w:lang w:val="fr-BE"/>
        </w:rPr>
      </w:pPr>
    </w:p>
    <w:p w:rsidR="00B04B79" w:rsidRPr="006F42DC" w:rsidRDefault="00B04B79" w:rsidP="00B04B7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vertAlign w:val="superscript"/>
          <w:lang w:val="fr-BE"/>
        </w:rPr>
      </w:pPr>
    </w:p>
    <w:p w:rsidR="00B04B79" w:rsidRPr="006F42DC" w:rsidRDefault="00B04B79" w:rsidP="00B04B7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lang w:val="it-IT"/>
        </w:rPr>
      </w:pPr>
      <w:r w:rsidRPr="006F42DC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6F42DC">
        <w:rPr>
          <w:rFonts w:ascii="Times New Roman" w:hAnsi="Times New Roman" w:cs="Times New Roman"/>
          <w:color w:val="000000" w:themeColor="text1"/>
          <w:lang w:val="it-IT"/>
        </w:rPr>
        <w:t>Policlinico San Martino, IRCCS For Oncology and Neuroscience, Department of Integrated Surgical and Diagnostic Science, University of Genova, Italy</w:t>
      </w:r>
    </w:p>
    <w:p w:rsidR="00B04B79" w:rsidRPr="006F42DC" w:rsidRDefault="00B04B79" w:rsidP="00B04B7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lang w:val="it-IT"/>
        </w:rPr>
      </w:pPr>
    </w:p>
    <w:p w:rsidR="00B04B79" w:rsidRPr="006F42DC" w:rsidRDefault="00B04B79" w:rsidP="00B04B79">
      <w:pPr>
        <w:spacing w:after="160" w:line="360" w:lineRule="auto"/>
        <w:jc w:val="center"/>
        <w:rPr>
          <w:rFonts w:ascii="Times New Roman" w:hAnsi="Times New Roman" w:cs="Times New Roman"/>
          <w:color w:val="000000" w:themeColor="text1"/>
          <w:lang w:val="en-GB"/>
        </w:rPr>
      </w:pPr>
      <w:r w:rsidRPr="006F42DC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6F42DC">
        <w:rPr>
          <w:rFonts w:ascii="Times New Roman" w:hAnsi="Times New Roman" w:cs="Times New Roman"/>
          <w:color w:val="000000" w:themeColor="text1"/>
          <w:lang w:val="en-GB"/>
        </w:rPr>
        <w:t>Neurosciences Critical Care Unit, Addenbrooke’s Hospital, University of Cambridge, United Kingdom.</w:t>
      </w:r>
    </w:p>
    <w:p w:rsidR="00B04B79" w:rsidRDefault="00B04B79" w:rsidP="00B04B79">
      <w:pPr>
        <w:spacing w:after="16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F42DC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6F42DC">
        <w:rPr>
          <w:rFonts w:ascii="Times New Roman" w:hAnsi="Times New Roman" w:cs="Times New Roman"/>
          <w:color w:val="000000" w:themeColor="text1"/>
        </w:rPr>
        <w:t>Department of Intensive Care Medicine, Erasme Hospital, Université Libre de Bruxelles, Brussels, Belgium</w:t>
      </w:r>
    </w:p>
    <w:p w:rsidR="00B04B79" w:rsidRPr="006F42DC" w:rsidRDefault="00B04B79" w:rsidP="00B04B79">
      <w:pPr>
        <w:spacing w:after="160"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B04B79" w:rsidRPr="00676A7E" w:rsidRDefault="00B04B79" w:rsidP="00B04B79">
      <w:pPr>
        <w:spacing w:after="160" w:line="360" w:lineRule="auto"/>
        <w:ind w:left="1440" w:firstLine="720"/>
        <w:rPr>
          <w:rFonts w:ascii="Times New Roman" w:hAnsi="Times New Roman" w:cs="Times New Roman"/>
          <w:color w:val="000000" w:themeColor="text1"/>
        </w:rPr>
      </w:pPr>
    </w:p>
    <w:p w:rsidR="00B04B79" w:rsidRDefault="00B04B79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A5419C" w:rsidRPr="00A5419C" w:rsidRDefault="00A5419C" w:rsidP="00B04B79">
      <w:pPr>
        <w:spacing w:line="360" w:lineRule="auto"/>
        <w:rPr>
          <w:rFonts w:ascii="Times New Roman" w:hAnsi="Times New Roman" w:cs="Times New Roman"/>
          <w:i/>
          <w:highlight w:val="yellow"/>
        </w:rPr>
      </w:pPr>
      <w:r w:rsidRPr="00A5419C">
        <w:rPr>
          <w:rFonts w:ascii="Times New Roman" w:hAnsi="Times New Roman" w:cs="Times New Roman"/>
          <w:i/>
          <w:highlight w:val="yellow"/>
        </w:rPr>
        <w:lastRenderedPageBreak/>
        <w:t>Abnormal values for each monitoring tool</w:t>
      </w:r>
    </w:p>
    <w:p w:rsidR="00A5419C" w:rsidRDefault="00A5419C" w:rsidP="00B04B79">
      <w:pPr>
        <w:spacing w:line="360" w:lineRule="auto"/>
        <w:rPr>
          <w:rFonts w:ascii="Times New Roman" w:hAnsi="Times New Roman" w:cs="Times New Roman"/>
          <w:highlight w:val="yellow"/>
        </w:rPr>
      </w:pPr>
      <w:r w:rsidRPr="00A5419C">
        <w:rPr>
          <w:rFonts w:ascii="Times New Roman" w:hAnsi="Times New Roman" w:cs="Times New Roman"/>
          <w:highlight w:val="yellow"/>
        </w:rPr>
        <w:tab/>
        <w:t>The number of patients with abnormal NPI, PI, ONSD and eICP values was 17 (17%), 21 (21%), 20 (20%) and 35 (35%), respectively</w:t>
      </w:r>
      <w:r>
        <w:rPr>
          <w:rFonts w:ascii="Times New Roman" w:hAnsi="Times New Roman" w:cs="Times New Roman"/>
          <w:highlight w:val="yellow"/>
        </w:rPr>
        <w:t xml:space="preserve"> (p=0.01)</w:t>
      </w:r>
      <w:r w:rsidRPr="00A5419C">
        <w:rPr>
          <w:rFonts w:ascii="Times New Roman" w:hAnsi="Times New Roman" w:cs="Times New Roman"/>
          <w:highlight w:val="yellow"/>
        </w:rPr>
        <w:t>.</w:t>
      </w:r>
      <w:r w:rsidR="00427E68">
        <w:rPr>
          <w:rFonts w:ascii="Times New Roman" w:hAnsi="Times New Roman" w:cs="Times New Roman"/>
          <w:highlight w:val="yellow"/>
        </w:rPr>
        <w:t xml:space="preserve"> The differences in the number of patients with abnormal NPI, PI, ONSD and eCIP between the </w:t>
      </w:r>
      <w:r w:rsidR="005932EF">
        <w:rPr>
          <w:rFonts w:ascii="Times New Roman" w:hAnsi="Times New Roman" w:cs="Times New Roman"/>
          <w:highlight w:val="yellow"/>
        </w:rPr>
        <w:t>three</w:t>
      </w:r>
      <w:r w:rsidR="00427E68">
        <w:rPr>
          <w:rFonts w:ascii="Times New Roman" w:hAnsi="Times New Roman" w:cs="Times New Roman"/>
          <w:highlight w:val="yellow"/>
        </w:rPr>
        <w:t xml:space="preserve"> forms of brain injury</w:t>
      </w:r>
      <w:r w:rsidR="005932EF">
        <w:rPr>
          <w:rFonts w:ascii="Times New Roman" w:hAnsi="Times New Roman" w:cs="Times New Roman"/>
          <w:highlight w:val="yellow"/>
        </w:rPr>
        <w:t xml:space="preserve"> are shown in Supplemental </w:t>
      </w:r>
      <w:r w:rsidR="0091306A">
        <w:rPr>
          <w:rFonts w:ascii="Times New Roman" w:hAnsi="Times New Roman" w:cs="Times New Roman"/>
          <w:highlight w:val="yellow"/>
        </w:rPr>
        <w:t>T</w:t>
      </w:r>
      <w:r w:rsidR="005932EF">
        <w:rPr>
          <w:rFonts w:ascii="Times New Roman" w:hAnsi="Times New Roman" w:cs="Times New Roman"/>
          <w:highlight w:val="yellow"/>
        </w:rPr>
        <w:t>able 1.</w:t>
      </w:r>
    </w:p>
    <w:p w:rsidR="005932EF" w:rsidRDefault="005932EF" w:rsidP="00B04B79">
      <w:pPr>
        <w:spacing w:line="360" w:lineRule="auto"/>
        <w:rPr>
          <w:rFonts w:ascii="Times New Roman" w:hAnsi="Times New Roman" w:cs="Times New Roman"/>
        </w:rPr>
      </w:pPr>
    </w:p>
    <w:p w:rsidR="005932EF" w:rsidRPr="00A5419C" w:rsidRDefault="005932EF" w:rsidP="00B04B79">
      <w:pPr>
        <w:spacing w:line="360" w:lineRule="auto"/>
        <w:rPr>
          <w:rFonts w:ascii="Times New Roman" w:hAnsi="Times New Roman" w:cs="Times New Roman"/>
        </w:rPr>
      </w:pPr>
    </w:p>
    <w:p w:rsidR="00A5419C" w:rsidRDefault="00A5419C" w:rsidP="00B04B79">
      <w:pPr>
        <w:spacing w:line="360" w:lineRule="auto"/>
        <w:rPr>
          <w:rFonts w:ascii="Times New Roman" w:hAnsi="Times New Roman" w:cs="Times New Roman"/>
          <w:i/>
        </w:rPr>
      </w:pPr>
    </w:p>
    <w:p w:rsidR="00A5419C" w:rsidRDefault="00A5419C" w:rsidP="00B04B79">
      <w:pPr>
        <w:spacing w:line="360" w:lineRule="auto"/>
        <w:rPr>
          <w:rFonts w:ascii="Times New Roman" w:hAnsi="Times New Roman" w:cs="Times New Roman"/>
          <w:i/>
        </w:rPr>
      </w:pPr>
    </w:p>
    <w:p w:rsidR="00A5419C" w:rsidRDefault="00A5419C" w:rsidP="00B04B79">
      <w:pPr>
        <w:spacing w:line="360" w:lineRule="auto"/>
        <w:rPr>
          <w:rFonts w:ascii="Times New Roman" w:hAnsi="Times New Roman" w:cs="Times New Roman"/>
          <w:i/>
        </w:rPr>
      </w:pPr>
    </w:p>
    <w:p w:rsidR="00A5419C" w:rsidRDefault="00A5419C" w:rsidP="00B04B79">
      <w:pPr>
        <w:spacing w:line="360" w:lineRule="auto"/>
        <w:rPr>
          <w:rFonts w:ascii="Times New Roman" w:hAnsi="Times New Roman" w:cs="Times New Roman"/>
          <w:i/>
        </w:rPr>
      </w:pPr>
    </w:p>
    <w:p w:rsidR="00A5419C" w:rsidRDefault="00A5419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B04B79" w:rsidRPr="006F42DC" w:rsidRDefault="00B04B79" w:rsidP="00B04B79">
      <w:pPr>
        <w:spacing w:line="360" w:lineRule="auto"/>
        <w:rPr>
          <w:rFonts w:ascii="Times New Roman" w:hAnsi="Times New Roman" w:cs="Times New Roman"/>
          <w:i/>
        </w:rPr>
      </w:pPr>
      <w:r w:rsidRPr="006F42DC">
        <w:rPr>
          <w:rFonts w:ascii="Times New Roman" w:hAnsi="Times New Roman" w:cs="Times New Roman"/>
          <w:i/>
        </w:rPr>
        <w:lastRenderedPageBreak/>
        <w:t>Invasive vs. Non-invasive measurement in different forms of brain injury</w:t>
      </w:r>
    </w:p>
    <w:p w:rsidR="003449B9" w:rsidRDefault="00F20B90"/>
    <w:p w:rsidR="00B04B79" w:rsidRDefault="00B04B79" w:rsidP="00B04B79">
      <w:pPr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</w:t>
      </w:r>
      <w:r w:rsidRPr="002B1179">
        <w:rPr>
          <w:rFonts w:ascii="Times New Roman" w:hAnsi="Times New Roman" w:cs="Times New Roman"/>
        </w:rPr>
        <w:t xml:space="preserve"> TBI subgroup, </w:t>
      </w:r>
      <w:r w:rsidRPr="00472210">
        <w:rPr>
          <w:rFonts w:ascii="Times New Roman" w:hAnsi="Times New Roman" w:cs="Times New Roman"/>
          <w:highlight w:val="yellow"/>
        </w:rPr>
        <w:t xml:space="preserve">there was a significant </w:t>
      </w:r>
      <w:r w:rsidR="00D860DA">
        <w:rPr>
          <w:rFonts w:ascii="Times New Roman" w:hAnsi="Times New Roman" w:cs="Times New Roman"/>
          <w:highlight w:val="yellow"/>
        </w:rPr>
        <w:t xml:space="preserve">moderate </w:t>
      </w:r>
      <w:r w:rsidRPr="00472210">
        <w:rPr>
          <w:rFonts w:ascii="Times New Roman" w:hAnsi="Times New Roman" w:cs="Times New Roman"/>
          <w:highlight w:val="yellow"/>
        </w:rPr>
        <w:t xml:space="preserve">correlation between </w:t>
      </w:r>
      <w:r w:rsidR="00472210" w:rsidRPr="00472210">
        <w:rPr>
          <w:rFonts w:ascii="Times New Roman" w:hAnsi="Times New Roman" w:cs="Times New Roman"/>
          <w:highlight w:val="yellow"/>
        </w:rPr>
        <w:t xml:space="preserve">invasive </w:t>
      </w:r>
      <w:r w:rsidR="00D860DA">
        <w:rPr>
          <w:rFonts w:ascii="Times New Roman" w:hAnsi="Times New Roman" w:cs="Times New Roman"/>
          <w:highlight w:val="yellow"/>
        </w:rPr>
        <w:t xml:space="preserve">ICP </w:t>
      </w:r>
      <w:r w:rsidR="00472210" w:rsidRPr="00472210">
        <w:rPr>
          <w:rFonts w:ascii="Times New Roman" w:hAnsi="Times New Roman" w:cs="Times New Roman"/>
          <w:highlight w:val="yellow"/>
        </w:rPr>
        <w:t xml:space="preserve">and </w:t>
      </w:r>
      <w:r w:rsidRPr="00472210">
        <w:rPr>
          <w:rFonts w:ascii="Times New Roman" w:hAnsi="Times New Roman" w:cs="Times New Roman"/>
          <w:highlight w:val="yellow"/>
        </w:rPr>
        <w:t>ONSD (r =0.</w:t>
      </w:r>
      <w:r w:rsidR="00D860DA">
        <w:rPr>
          <w:rFonts w:ascii="Times New Roman" w:hAnsi="Times New Roman" w:cs="Times New Roman"/>
          <w:highlight w:val="yellow"/>
        </w:rPr>
        <w:t>53</w:t>
      </w:r>
      <w:r w:rsidRPr="00472210">
        <w:rPr>
          <w:rFonts w:ascii="Times New Roman" w:hAnsi="Times New Roman" w:cs="Times New Roman"/>
          <w:highlight w:val="yellow"/>
        </w:rPr>
        <w:t>, p</w:t>
      </w:r>
      <w:r w:rsidR="00D860DA">
        <w:rPr>
          <w:rFonts w:ascii="Times New Roman" w:hAnsi="Times New Roman" w:cs="Times New Roman"/>
          <w:highlight w:val="yellow"/>
        </w:rPr>
        <w:t>=</w:t>
      </w:r>
      <w:r w:rsidRPr="00472210">
        <w:rPr>
          <w:rFonts w:ascii="Times New Roman" w:hAnsi="Times New Roman" w:cs="Times New Roman"/>
          <w:highlight w:val="yellow"/>
        </w:rPr>
        <w:t>0.00</w:t>
      </w:r>
      <w:r w:rsidR="00D860DA">
        <w:rPr>
          <w:rFonts w:ascii="Times New Roman" w:hAnsi="Times New Roman" w:cs="Times New Roman"/>
          <w:highlight w:val="yellow"/>
        </w:rPr>
        <w:t>2</w:t>
      </w:r>
      <w:r w:rsidRPr="00472210">
        <w:rPr>
          <w:rFonts w:ascii="Times New Roman" w:hAnsi="Times New Roman" w:cs="Times New Roman"/>
          <w:highlight w:val="yellow"/>
        </w:rPr>
        <w:t>), PI (r =0.60, p&lt;0.001)</w:t>
      </w:r>
      <w:r w:rsidR="00472210" w:rsidRPr="00472210">
        <w:rPr>
          <w:rFonts w:ascii="Times New Roman" w:hAnsi="Times New Roman" w:cs="Times New Roman"/>
          <w:highlight w:val="yellow"/>
        </w:rPr>
        <w:t xml:space="preserve"> and</w:t>
      </w:r>
      <w:r w:rsidRPr="00472210">
        <w:rPr>
          <w:rFonts w:ascii="Times New Roman" w:hAnsi="Times New Roman" w:cs="Times New Roman"/>
          <w:highlight w:val="yellow"/>
        </w:rPr>
        <w:t xml:space="preserve"> eICP (r= 0.</w:t>
      </w:r>
      <w:r w:rsidR="00D860DA">
        <w:rPr>
          <w:rFonts w:ascii="Times New Roman" w:hAnsi="Times New Roman" w:cs="Times New Roman"/>
          <w:highlight w:val="yellow"/>
        </w:rPr>
        <w:t>66</w:t>
      </w:r>
      <w:r w:rsidRPr="00472210">
        <w:rPr>
          <w:rFonts w:ascii="Times New Roman" w:hAnsi="Times New Roman" w:cs="Times New Roman"/>
          <w:highlight w:val="yellow"/>
        </w:rPr>
        <w:t>, p&lt;0.001)</w:t>
      </w:r>
      <w:r w:rsidR="00D860DA">
        <w:rPr>
          <w:rFonts w:ascii="Times New Roman" w:hAnsi="Times New Roman" w:cs="Times New Roman"/>
          <w:highlight w:val="yellow"/>
        </w:rPr>
        <w:t>, but no correlation with</w:t>
      </w:r>
      <w:r w:rsidRPr="00472210">
        <w:rPr>
          <w:rFonts w:ascii="Times New Roman" w:hAnsi="Times New Roman" w:cs="Times New Roman"/>
          <w:highlight w:val="yellow"/>
        </w:rPr>
        <w:t xml:space="preserve"> NPI (r =</w:t>
      </w:r>
      <w:r w:rsidR="00D860DA">
        <w:rPr>
          <w:rFonts w:ascii="Times New Roman" w:hAnsi="Times New Roman" w:cs="Times New Roman"/>
          <w:highlight w:val="yellow"/>
        </w:rPr>
        <w:t>-</w:t>
      </w:r>
      <w:r w:rsidRPr="00472210">
        <w:rPr>
          <w:rFonts w:ascii="Times New Roman" w:hAnsi="Times New Roman" w:cs="Times New Roman"/>
          <w:highlight w:val="yellow"/>
        </w:rPr>
        <w:t>0.1</w:t>
      </w:r>
      <w:r w:rsidR="00D860DA">
        <w:rPr>
          <w:rFonts w:ascii="Times New Roman" w:hAnsi="Times New Roman" w:cs="Times New Roman"/>
          <w:highlight w:val="yellow"/>
        </w:rPr>
        <w:t>6</w:t>
      </w:r>
      <w:r w:rsidRPr="00472210">
        <w:rPr>
          <w:rFonts w:ascii="Times New Roman" w:hAnsi="Times New Roman" w:cs="Times New Roman"/>
          <w:highlight w:val="yellow"/>
        </w:rPr>
        <w:t>, p=0.</w:t>
      </w:r>
      <w:r w:rsidR="00D860DA">
        <w:rPr>
          <w:rFonts w:ascii="Times New Roman" w:hAnsi="Times New Roman" w:cs="Times New Roman"/>
          <w:highlight w:val="yellow"/>
        </w:rPr>
        <w:t>37</w:t>
      </w:r>
      <w:r w:rsidRPr="00472210">
        <w:rPr>
          <w:rFonts w:ascii="Times New Roman" w:hAnsi="Times New Roman" w:cs="Times New Roman"/>
          <w:highlight w:val="yellow"/>
        </w:rPr>
        <w:t>).</w:t>
      </w:r>
      <w:r>
        <w:rPr>
          <w:rFonts w:ascii="Times New Roman" w:hAnsi="Times New Roman" w:cs="Times New Roman"/>
        </w:rPr>
        <w:t xml:space="preserve"> The AUC to predict intracranial hypertension was 0.78 [95% CIs 0.62-0.95]</w:t>
      </w:r>
      <w:r w:rsidRPr="003F13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 ONSD, 0.79 [95% CI: 0.63-0.96] for PI, 0.83[95% CI: 0.69-0.98] for eICP and 0.61 [95% CI: 0.49</w:t>
      </w:r>
      <w:r w:rsidRPr="003F1381">
        <w:rPr>
          <w:rFonts w:ascii="Times New Roman" w:hAnsi="Times New Roman" w:cs="Times New Roman"/>
        </w:rPr>
        <w:t>-0.83</w:t>
      </w:r>
      <w:r>
        <w:rPr>
          <w:rFonts w:ascii="Times New Roman" w:hAnsi="Times New Roman" w:cs="Times New Roman"/>
        </w:rPr>
        <w:t>]</w:t>
      </w:r>
      <w:r w:rsidRPr="003F13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NPI. </w:t>
      </w:r>
      <w:r w:rsidRPr="00B04B79">
        <w:rPr>
          <w:rFonts w:ascii="Times New Roman" w:hAnsi="Times New Roman" w:cs="Times New Roman"/>
        </w:rPr>
        <w:t>In particular, a ONSD &gt; 5.3 mm had 67% sensitivity and 73% specificity to predict intracranial hypertension; a PI &gt; 1.10 had 61% sensitivity and 80% specificity to predict intracranial hypertension; a NPI &lt; 4.0 had 61% sensitivity and 73% specificity to predict intracranial hypertension; an eICP &gt; 20 mmHg had 67% sensitivity and 87% specificity to predict intracranial hypertension.</w:t>
      </w:r>
    </w:p>
    <w:p w:rsidR="00B04B79" w:rsidRPr="00D860DA" w:rsidRDefault="00B04B79" w:rsidP="00D860DA">
      <w:pPr>
        <w:spacing w:line="360" w:lineRule="auto"/>
        <w:ind w:firstLine="708"/>
        <w:rPr>
          <w:rFonts w:ascii="Times New Roman" w:hAnsi="Times New Roman" w:cs="Times New Roman"/>
          <w:highlight w:val="yellow"/>
        </w:rPr>
      </w:pPr>
      <w:r w:rsidRPr="00B04B79">
        <w:rPr>
          <w:rFonts w:ascii="Times New Roman" w:hAnsi="Times New Roman" w:cs="Times New Roman"/>
        </w:rPr>
        <w:t xml:space="preserve">In the SAH subgroup, </w:t>
      </w:r>
      <w:r w:rsidR="00472210" w:rsidRPr="00472210">
        <w:rPr>
          <w:rFonts w:ascii="Times New Roman" w:hAnsi="Times New Roman" w:cs="Times New Roman"/>
          <w:highlight w:val="yellow"/>
        </w:rPr>
        <w:t xml:space="preserve">there was a significant correlation between invasive </w:t>
      </w:r>
      <w:r w:rsidR="00D860DA">
        <w:rPr>
          <w:rFonts w:ascii="Times New Roman" w:hAnsi="Times New Roman" w:cs="Times New Roman"/>
          <w:highlight w:val="yellow"/>
        </w:rPr>
        <w:t xml:space="preserve">ICP </w:t>
      </w:r>
      <w:r w:rsidR="00472210" w:rsidRPr="00472210">
        <w:rPr>
          <w:rFonts w:ascii="Times New Roman" w:hAnsi="Times New Roman" w:cs="Times New Roman"/>
          <w:highlight w:val="yellow"/>
        </w:rPr>
        <w:t>and each technique</w:t>
      </w:r>
      <w:r w:rsidR="00472210" w:rsidRPr="00472210">
        <w:rPr>
          <w:rFonts w:ascii="Times New Roman" w:hAnsi="Times New Roman" w:cs="Times New Roman"/>
          <w:highlight w:val="yellow"/>
          <w:lang w:val="en-AU"/>
        </w:rPr>
        <w:t xml:space="preserve">, </w:t>
      </w:r>
      <w:r w:rsidR="00472210" w:rsidRPr="00F175C9">
        <w:rPr>
          <w:rFonts w:ascii="Times New Roman" w:hAnsi="Times New Roman" w:cs="Times New Roman"/>
          <w:highlight w:val="yellow"/>
          <w:lang w:val="en-AU"/>
        </w:rPr>
        <w:t>although</w:t>
      </w:r>
      <w:r w:rsidR="00472210" w:rsidRPr="00F175C9">
        <w:rPr>
          <w:rFonts w:ascii="Times New Roman" w:hAnsi="Times New Roman" w:cs="Times New Roman"/>
          <w:highlight w:val="yellow"/>
        </w:rPr>
        <w:t xml:space="preserve"> it was strong for </w:t>
      </w:r>
      <w:r w:rsidR="00D860DA" w:rsidRPr="00F175C9">
        <w:rPr>
          <w:rFonts w:ascii="Times New Roman" w:hAnsi="Times New Roman" w:cs="Times New Roman"/>
          <w:highlight w:val="yellow"/>
        </w:rPr>
        <w:t>NPI (r=</w:t>
      </w:r>
      <w:r w:rsidR="00D860DA">
        <w:rPr>
          <w:rFonts w:ascii="Times New Roman" w:hAnsi="Times New Roman" w:cs="Times New Roman"/>
          <w:highlight w:val="yellow"/>
        </w:rPr>
        <w:t>-</w:t>
      </w:r>
      <w:r w:rsidR="00D860DA" w:rsidRPr="00F175C9">
        <w:rPr>
          <w:rFonts w:ascii="Times New Roman" w:hAnsi="Times New Roman" w:cs="Times New Roman"/>
          <w:highlight w:val="yellow"/>
        </w:rPr>
        <w:t>0.7</w:t>
      </w:r>
      <w:r w:rsidR="00D860DA">
        <w:rPr>
          <w:rFonts w:ascii="Times New Roman" w:hAnsi="Times New Roman" w:cs="Times New Roman"/>
          <w:highlight w:val="yellow"/>
        </w:rPr>
        <w:t>7</w:t>
      </w:r>
      <w:r w:rsidR="00D860DA" w:rsidRPr="00F175C9">
        <w:rPr>
          <w:rFonts w:ascii="Times New Roman" w:hAnsi="Times New Roman" w:cs="Times New Roman"/>
          <w:highlight w:val="yellow"/>
        </w:rPr>
        <w:t>, p&lt;0.001) and eICP (r=0.</w:t>
      </w:r>
      <w:r w:rsidR="00D860DA">
        <w:rPr>
          <w:rFonts w:ascii="Times New Roman" w:hAnsi="Times New Roman" w:cs="Times New Roman"/>
          <w:highlight w:val="yellow"/>
        </w:rPr>
        <w:t>88</w:t>
      </w:r>
      <w:r w:rsidR="00D860DA" w:rsidRPr="00F175C9">
        <w:rPr>
          <w:rFonts w:ascii="Times New Roman" w:hAnsi="Times New Roman" w:cs="Times New Roman"/>
          <w:highlight w:val="yellow"/>
        </w:rPr>
        <w:t xml:space="preserve">, p&lt;0.001) </w:t>
      </w:r>
      <w:r w:rsidR="00D860DA">
        <w:rPr>
          <w:rFonts w:ascii="Times New Roman" w:hAnsi="Times New Roman" w:cs="Times New Roman"/>
          <w:highlight w:val="yellow"/>
        </w:rPr>
        <w:t xml:space="preserve">and moderate for </w:t>
      </w:r>
      <w:r w:rsidRPr="00F175C9">
        <w:rPr>
          <w:rFonts w:ascii="Times New Roman" w:hAnsi="Times New Roman" w:cs="Times New Roman"/>
          <w:highlight w:val="yellow"/>
        </w:rPr>
        <w:t>ONSD</w:t>
      </w:r>
      <w:r w:rsidR="00472210" w:rsidRPr="00F175C9">
        <w:rPr>
          <w:rFonts w:ascii="Times New Roman" w:hAnsi="Times New Roman" w:cs="Times New Roman"/>
          <w:highlight w:val="yellow"/>
        </w:rPr>
        <w:t xml:space="preserve"> (</w:t>
      </w:r>
      <w:r w:rsidRPr="00F175C9">
        <w:rPr>
          <w:rFonts w:ascii="Times New Roman" w:hAnsi="Times New Roman" w:cs="Times New Roman"/>
          <w:highlight w:val="yellow"/>
        </w:rPr>
        <w:t>r</w:t>
      </w:r>
      <w:r w:rsidR="00D860DA">
        <w:rPr>
          <w:rFonts w:ascii="Times New Roman" w:hAnsi="Times New Roman" w:cs="Times New Roman"/>
          <w:highlight w:val="yellow"/>
          <w:vertAlign w:val="superscript"/>
        </w:rPr>
        <w:t xml:space="preserve"> </w:t>
      </w:r>
      <w:r w:rsidRPr="00F175C9">
        <w:rPr>
          <w:rFonts w:ascii="Times New Roman" w:hAnsi="Times New Roman" w:cs="Times New Roman"/>
          <w:highlight w:val="yellow"/>
        </w:rPr>
        <w:t>=0.</w:t>
      </w:r>
      <w:r w:rsidR="00D860DA">
        <w:rPr>
          <w:rFonts w:ascii="Times New Roman" w:hAnsi="Times New Roman" w:cs="Times New Roman"/>
          <w:highlight w:val="yellow"/>
        </w:rPr>
        <w:t>61</w:t>
      </w:r>
      <w:r w:rsidRPr="00F175C9">
        <w:rPr>
          <w:rFonts w:ascii="Times New Roman" w:hAnsi="Times New Roman" w:cs="Times New Roman"/>
          <w:highlight w:val="yellow"/>
        </w:rPr>
        <w:t>, p&lt;0.00</w:t>
      </w:r>
      <w:r w:rsidR="00472210" w:rsidRPr="00F175C9">
        <w:rPr>
          <w:rFonts w:ascii="Times New Roman" w:hAnsi="Times New Roman" w:cs="Times New Roman"/>
          <w:highlight w:val="yellow"/>
        </w:rPr>
        <w:t>1)</w:t>
      </w:r>
      <w:r w:rsidR="00D860DA">
        <w:rPr>
          <w:rFonts w:ascii="Times New Roman" w:hAnsi="Times New Roman" w:cs="Times New Roman"/>
          <w:highlight w:val="yellow"/>
        </w:rPr>
        <w:t xml:space="preserve"> </w:t>
      </w:r>
      <w:r w:rsidR="00F175C9" w:rsidRPr="00F175C9">
        <w:rPr>
          <w:rFonts w:ascii="Times New Roman" w:hAnsi="Times New Roman" w:cs="Times New Roman"/>
          <w:highlight w:val="yellow"/>
        </w:rPr>
        <w:t>and PI (r</w:t>
      </w:r>
      <w:r w:rsidR="00D860DA">
        <w:rPr>
          <w:rFonts w:ascii="Times New Roman" w:hAnsi="Times New Roman" w:cs="Times New Roman"/>
          <w:highlight w:val="yellow"/>
          <w:vertAlign w:val="superscript"/>
        </w:rPr>
        <w:t xml:space="preserve"> </w:t>
      </w:r>
      <w:r w:rsidR="00F175C9" w:rsidRPr="00F175C9">
        <w:rPr>
          <w:rFonts w:ascii="Times New Roman" w:hAnsi="Times New Roman" w:cs="Times New Roman"/>
          <w:highlight w:val="yellow"/>
        </w:rPr>
        <w:t>= 0.</w:t>
      </w:r>
      <w:r w:rsidR="00D860DA">
        <w:rPr>
          <w:rFonts w:ascii="Times New Roman" w:hAnsi="Times New Roman" w:cs="Times New Roman"/>
          <w:highlight w:val="yellow"/>
        </w:rPr>
        <w:t>53</w:t>
      </w:r>
      <w:r w:rsidR="00F175C9" w:rsidRPr="00F175C9">
        <w:rPr>
          <w:rFonts w:ascii="Times New Roman" w:hAnsi="Times New Roman" w:cs="Times New Roman"/>
          <w:highlight w:val="yellow"/>
        </w:rPr>
        <w:t>, p</w:t>
      </w:r>
      <w:r w:rsidR="00D860DA">
        <w:rPr>
          <w:rFonts w:ascii="Times New Roman" w:hAnsi="Times New Roman" w:cs="Times New Roman"/>
          <w:highlight w:val="yellow"/>
        </w:rPr>
        <w:t>&lt;</w:t>
      </w:r>
      <w:r w:rsidR="00F175C9" w:rsidRPr="00F175C9">
        <w:rPr>
          <w:rFonts w:ascii="Times New Roman" w:hAnsi="Times New Roman" w:cs="Times New Roman"/>
          <w:highlight w:val="yellow"/>
        </w:rPr>
        <w:t>0.0</w:t>
      </w:r>
      <w:r w:rsidR="00D860DA">
        <w:rPr>
          <w:rFonts w:ascii="Times New Roman" w:hAnsi="Times New Roman" w:cs="Times New Roman"/>
          <w:highlight w:val="yellow"/>
        </w:rPr>
        <w:t>01</w:t>
      </w:r>
      <w:r w:rsidR="00F175C9" w:rsidRPr="00F175C9">
        <w:rPr>
          <w:rFonts w:ascii="Times New Roman" w:hAnsi="Times New Roman" w:cs="Times New Roman"/>
          <w:highlight w:val="yellow"/>
        </w:rPr>
        <w:t>)</w:t>
      </w:r>
      <w:r w:rsidRPr="00F175C9">
        <w:rPr>
          <w:rFonts w:ascii="Times New Roman" w:hAnsi="Times New Roman" w:cs="Times New Roman"/>
          <w:highlight w:val="yellow"/>
        </w:rPr>
        <w:t>.</w:t>
      </w:r>
      <w:r w:rsidRPr="00B04B79">
        <w:rPr>
          <w:rFonts w:ascii="Times New Roman" w:hAnsi="Times New Roman" w:cs="Times New Roman"/>
        </w:rPr>
        <w:t xml:space="preserve"> The AUC to predict intracranial hypertension was 0.78 [95%CIs 0.62-0.94] for ONSD, 0.79 [95%CIs 0.63-0.96] for PI, 0.68 [95%CIs 0.61-0.75] for eICP and 0.70 [95%CIs 0.51-0.89] for NPI. In particular, a ONSD &gt; 5.7 mm had 73% sensitivity and 85% specificity to predict intracranial hypertension; a PI &gt; 0.98 had 71% sensitivity and 100% specificity to predict intracranial hypertension; a NPI &lt; 4.0 had 60% sensitivity and 71% specificity to predict intracranial hypertension; an eICP &gt; 20 mmHg had 80% sensitivity and 90% specificity to predict intracranial hypertension.</w:t>
      </w:r>
    </w:p>
    <w:p w:rsidR="00B04B79" w:rsidRDefault="00B04B79" w:rsidP="00F175C9">
      <w:pPr>
        <w:spacing w:line="360" w:lineRule="auto"/>
        <w:ind w:firstLine="708"/>
        <w:rPr>
          <w:rFonts w:ascii="Times New Roman" w:hAnsi="Times New Roman" w:cs="Times New Roman"/>
        </w:rPr>
      </w:pPr>
      <w:r w:rsidRPr="00B04B79">
        <w:rPr>
          <w:rFonts w:ascii="Times New Roman" w:hAnsi="Times New Roman" w:cs="Times New Roman"/>
        </w:rPr>
        <w:t xml:space="preserve">In the ICH group, </w:t>
      </w:r>
      <w:r w:rsidR="00F175C9" w:rsidRPr="00472210">
        <w:rPr>
          <w:rFonts w:ascii="Times New Roman" w:hAnsi="Times New Roman" w:cs="Times New Roman"/>
          <w:highlight w:val="yellow"/>
        </w:rPr>
        <w:t xml:space="preserve">there was a significant </w:t>
      </w:r>
      <w:r w:rsidR="00D860DA">
        <w:rPr>
          <w:rFonts w:ascii="Times New Roman" w:hAnsi="Times New Roman" w:cs="Times New Roman"/>
          <w:highlight w:val="yellow"/>
        </w:rPr>
        <w:t xml:space="preserve">moderate </w:t>
      </w:r>
      <w:r w:rsidR="00F175C9" w:rsidRPr="00472210">
        <w:rPr>
          <w:rFonts w:ascii="Times New Roman" w:hAnsi="Times New Roman" w:cs="Times New Roman"/>
          <w:highlight w:val="yellow"/>
        </w:rPr>
        <w:t xml:space="preserve">correlation between invasive </w:t>
      </w:r>
      <w:r w:rsidR="00D860DA">
        <w:rPr>
          <w:rFonts w:ascii="Times New Roman" w:hAnsi="Times New Roman" w:cs="Times New Roman"/>
          <w:highlight w:val="yellow"/>
        </w:rPr>
        <w:t xml:space="preserve">ICP </w:t>
      </w:r>
      <w:r w:rsidR="00F175C9" w:rsidRPr="00472210">
        <w:rPr>
          <w:rFonts w:ascii="Times New Roman" w:hAnsi="Times New Roman" w:cs="Times New Roman"/>
          <w:highlight w:val="yellow"/>
        </w:rPr>
        <w:t>and each technique</w:t>
      </w:r>
      <w:r w:rsidR="00D860DA">
        <w:rPr>
          <w:rFonts w:ascii="Times New Roman" w:hAnsi="Times New Roman" w:cs="Times New Roman"/>
          <w:highlight w:val="yellow"/>
          <w:lang w:val="en-AU"/>
        </w:rPr>
        <w:t>;</w:t>
      </w:r>
      <w:r w:rsidR="00F175C9" w:rsidRPr="00472210">
        <w:rPr>
          <w:rFonts w:ascii="Times New Roman" w:hAnsi="Times New Roman" w:cs="Times New Roman"/>
          <w:highlight w:val="yellow"/>
          <w:lang w:val="en-AU"/>
        </w:rPr>
        <w:t xml:space="preserve"> </w:t>
      </w:r>
      <w:r w:rsidR="00F175C9" w:rsidRPr="00F175C9">
        <w:rPr>
          <w:rFonts w:ascii="Times New Roman" w:hAnsi="Times New Roman" w:cs="Times New Roman"/>
          <w:highlight w:val="yellow"/>
        </w:rPr>
        <w:t>ONSD (r =0.</w:t>
      </w:r>
      <w:r w:rsidR="00D860DA">
        <w:rPr>
          <w:rFonts w:ascii="Times New Roman" w:hAnsi="Times New Roman" w:cs="Times New Roman"/>
          <w:highlight w:val="yellow"/>
        </w:rPr>
        <w:t>56</w:t>
      </w:r>
      <w:r w:rsidR="00F175C9" w:rsidRPr="00F175C9">
        <w:rPr>
          <w:rFonts w:ascii="Times New Roman" w:hAnsi="Times New Roman" w:cs="Times New Roman"/>
          <w:highlight w:val="yellow"/>
        </w:rPr>
        <w:t>, p&lt;0.001), PI (r =0.</w:t>
      </w:r>
      <w:r w:rsidR="00D860DA">
        <w:rPr>
          <w:rFonts w:ascii="Times New Roman" w:hAnsi="Times New Roman" w:cs="Times New Roman"/>
          <w:highlight w:val="yellow"/>
        </w:rPr>
        <w:t>68</w:t>
      </w:r>
      <w:r w:rsidR="00F175C9" w:rsidRPr="00F175C9">
        <w:rPr>
          <w:rFonts w:ascii="Times New Roman" w:hAnsi="Times New Roman" w:cs="Times New Roman"/>
          <w:highlight w:val="yellow"/>
        </w:rPr>
        <w:t>, p&lt;0.001)</w:t>
      </w:r>
      <w:r w:rsidR="00D860DA">
        <w:rPr>
          <w:rFonts w:ascii="Times New Roman" w:hAnsi="Times New Roman" w:cs="Times New Roman"/>
          <w:highlight w:val="yellow"/>
        </w:rPr>
        <w:t xml:space="preserve">, </w:t>
      </w:r>
      <w:r w:rsidR="00F175C9" w:rsidRPr="00F175C9">
        <w:rPr>
          <w:rFonts w:ascii="Times New Roman" w:hAnsi="Times New Roman" w:cs="Times New Roman"/>
          <w:highlight w:val="yellow"/>
        </w:rPr>
        <w:t>eICP (r =0.</w:t>
      </w:r>
      <w:r w:rsidR="00D860DA">
        <w:rPr>
          <w:rFonts w:ascii="Times New Roman" w:hAnsi="Times New Roman" w:cs="Times New Roman"/>
          <w:highlight w:val="yellow"/>
        </w:rPr>
        <w:t>53</w:t>
      </w:r>
      <w:r w:rsidR="00F175C9" w:rsidRPr="00F175C9">
        <w:rPr>
          <w:rFonts w:ascii="Times New Roman" w:hAnsi="Times New Roman" w:cs="Times New Roman"/>
          <w:highlight w:val="yellow"/>
        </w:rPr>
        <w:t xml:space="preserve">, p&lt;0.001) and </w:t>
      </w:r>
      <w:r w:rsidR="00F175C9">
        <w:rPr>
          <w:rFonts w:ascii="Times New Roman" w:hAnsi="Times New Roman" w:cs="Times New Roman"/>
          <w:highlight w:val="yellow"/>
        </w:rPr>
        <w:t>N</w:t>
      </w:r>
      <w:r w:rsidR="00F175C9" w:rsidRPr="00F175C9">
        <w:rPr>
          <w:rFonts w:ascii="Times New Roman" w:hAnsi="Times New Roman" w:cs="Times New Roman"/>
          <w:highlight w:val="yellow"/>
        </w:rPr>
        <w:t xml:space="preserve">PI (r = </w:t>
      </w:r>
      <w:r w:rsidR="00D860DA">
        <w:rPr>
          <w:rFonts w:ascii="Times New Roman" w:hAnsi="Times New Roman" w:cs="Times New Roman"/>
          <w:highlight w:val="yellow"/>
        </w:rPr>
        <w:t>-</w:t>
      </w:r>
      <w:r w:rsidR="00F175C9" w:rsidRPr="00F175C9">
        <w:rPr>
          <w:rFonts w:ascii="Times New Roman" w:hAnsi="Times New Roman" w:cs="Times New Roman"/>
          <w:highlight w:val="yellow"/>
        </w:rPr>
        <w:t>0.</w:t>
      </w:r>
      <w:r w:rsidR="00D860DA">
        <w:rPr>
          <w:rFonts w:ascii="Times New Roman" w:hAnsi="Times New Roman" w:cs="Times New Roman"/>
          <w:highlight w:val="yellow"/>
        </w:rPr>
        <w:t>57</w:t>
      </w:r>
      <w:r w:rsidR="00F175C9" w:rsidRPr="00F175C9">
        <w:rPr>
          <w:rFonts w:ascii="Times New Roman" w:hAnsi="Times New Roman" w:cs="Times New Roman"/>
          <w:highlight w:val="yellow"/>
        </w:rPr>
        <w:t>, p</w:t>
      </w:r>
      <w:r w:rsidR="00D860DA">
        <w:rPr>
          <w:rFonts w:ascii="Times New Roman" w:hAnsi="Times New Roman" w:cs="Times New Roman"/>
          <w:highlight w:val="yellow"/>
        </w:rPr>
        <w:t>&lt;</w:t>
      </w:r>
      <w:r w:rsidR="00F175C9" w:rsidRPr="00F175C9">
        <w:rPr>
          <w:rFonts w:ascii="Times New Roman" w:hAnsi="Times New Roman" w:cs="Times New Roman"/>
          <w:highlight w:val="yellow"/>
        </w:rPr>
        <w:t>0.0</w:t>
      </w:r>
      <w:r w:rsidR="00D860DA">
        <w:rPr>
          <w:rFonts w:ascii="Times New Roman" w:hAnsi="Times New Roman" w:cs="Times New Roman"/>
          <w:highlight w:val="yellow"/>
        </w:rPr>
        <w:t>0</w:t>
      </w:r>
      <w:r w:rsidR="00F175C9">
        <w:rPr>
          <w:rFonts w:ascii="Times New Roman" w:hAnsi="Times New Roman" w:cs="Times New Roman"/>
          <w:highlight w:val="yellow"/>
        </w:rPr>
        <w:t>1</w:t>
      </w:r>
      <w:r w:rsidR="00F175C9" w:rsidRPr="00F175C9">
        <w:rPr>
          <w:rFonts w:ascii="Times New Roman" w:hAnsi="Times New Roman" w:cs="Times New Roman"/>
          <w:highlight w:val="yellow"/>
        </w:rPr>
        <w:t>).</w:t>
      </w:r>
      <w:r w:rsidR="00F175C9">
        <w:rPr>
          <w:rFonts w:ascii="Times New Roman" w:hAnsi="Times New Roman" w:cs="Times New Roman"/>
        </w:rPr>
        <w:t xml:space="preserve"> </w:t>
      </w:r>
      <w:r w:rsidRPr="00B04B79">
        <w:rPr>
          <w:rFonts w:ascii="Times New Roman" w:hAnsi="Times New Roman" w:cs="Times New Roman"/>
        </w:rPr>
        <w:t>The AUC to predict intracranial hypertension was 0.90 [95%CIs 0.77-0.99] for ONSD, 0.69 [95%CIs  0.65-0.78] for PI, 0.97 [95%CIs 0.96-0.98] for   eICP and 0.73 [95%CIs 0.64-0.87] for NPI. In particular, a ONSD &gt; 5.7 mm had 72% sensitivity and 94% specificity to predict intracranial hypertension; a PI &gt; 1.23 had 71% sensitivity and 100% specificity to predict intracranial hypertension; a NPI &lt; 4.0 had 71% sensitivity and 94% specificity to predict intracranial hypertension; an eICP &gt; 24 mmHg had 71% sensitivity and 94% specificity to predict intracranial hypertension.</w:t>
      </w:r>
    </w:p>
    <w:p w:rsidR="00676A7E" w:rsidRDefault="00676A7E" w:rsidP="00676A7E">
      <w:pPr>
        <w:spacing w:line="360" w:lineRule="auto"/>
        <w:rPr>
          <w:rFonts w:ascii="Times New Roman" w:hAnsi="Times New Roman" w:cs="Times New Roman"/>
        </w:rPr>
      </w:pPr>
    </w:p>
    <w:p w:rsidR="00676A7E" w:rsidRDefault="00676A7E" w:rsidP="00676A7E">
      <w:pPr>
        <w:spacing w:line="360" w:lineRule="auto"/>
        <w:rPr>
          <w:rFonts w:ascii="Times New Roman" w:hAnsi="Times New Roman" w:cs="Times New Roman"/>
        </w:rPr>
      </w:pPr>
    </w:p>
    <w:p w:rsidR="005932EF" w:rsidRDefault="005932EF">
      <w:pPr>
        <w:rPr>
          <w:rFonts w:ascii="Times New Roman" w:hAnsi="Times New Roman" w:cs="Times New Roman"/>
          <w:b/>
          <w:highlight w:val="yellow"/>
        </w:rPr>
        <w:sectPr w:rsidR="005932EF" w:rsidSect="00A04CDA">
          <w:footerReference w:type="even" r:id="rId6"/>
          <w:footerReference w:type="default" r:id="rId7"/>
          <w:pgSz w:w="11900" w:h="16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5932EF" w:rsidRDefault="005932EF" w:rsidP="005932EF">
      <w:pPr>
        <w:rPr>
          <w:rFonts w:ascii="Times New Roman" w:hAnsi="Times New Roman" w:cs="Times New Roman"/>
        </w:rPr>
      </w:pPr>
      <w:r w:rsidRPr="001E5855">
        <w:rPr>
          <w:rFonts w:ascii="Times New Roman" w:hAnsi="Times New Roman" w:cs="Times New Roman"/>
          <w:b/>
          <w:highlight w:val="yellow"/>
        </w:rPr>
        <w:lastRenderedPageBreak/>
        <w:t>Supplemental Table 1.</w:t>
      </w:r>
      <w:r w:rsidRPr="001E5855">
        <w:rPr>
          <w:rFonts w:ascii="Times New Roman" w:hAnsi="Times New Roman" w:cs="Times New Roman"/>
          <w:highlight w:val="yellow"/>
        </w:rPr>
        <w:t xml:space="preserve"> </w:t>
      </w:r>
      <w:r w:rsidR="001E5855" w:rsidRPr="001E5855">
        <w:rPr>
          <w:rFonts w:ascii="Times New Roman" w:hAnsi="Times New Roman" w:cs="Times New Roman"/>
          <w:highlight w:val="yellow"/>
        </w:rPr>
        <w:t>Number of abnormal values for each monitoring tool, according to the different forms of brain injury.</w:t>
      </w:r>
    </w:p>
    <w:p w:rsidR="001E5855" w:rsidRPr="006F42DC" w:rsidRDefault="001E5855" w:rsidP="005932EF">
      <w:pPr>
        <w:rPr>
          <w:rFonts w:ascii="Times New Roman" w:hAnsi="Times New Roman" w:cs="Times New Roman"/>
        </w:rPr>
      </w:pPr>
    </w:p>
    <w:tbl>
      <w:tblPr>
        <w:tblW w:w="129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127"/>
        <w:gridCol w:w="2126"/>
        <w:gridCol w:w="2214"/>
        <w:gridCol w:w="2023"/>
      </w:tblGrid>
      <w:tr w:rsidR="005932EF" w:rsidRPr="00A75C65" w:rsidTr="00B30E66">
        <w:trPr>
          <w:trHeight w:val="628"/>
        </w:trPr>
        <w:tc>
          <w:tcPr>
            <w:tcW w:w="4461" w:type="dxa"/>
            <w:shd w:val="clear" w:color="auto" w:fill="auto"/>
            <w:noWrap/>
            <w:vAlign w:val="center"/>
          </w:tcPr>
          <w:p w:rsidR="005932EF" w:rsidRPr="00A75C65" w:rsidRDefault="005932EF" w:rsidP="00B30E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5932EF" w:rsidRDefault="005932EF" w:rsidP="00B30E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ALL</w:t>
            </w:r>
          </w:p>
          <w:p w:rsidR="005932EF" w:rsidRPr="00A75C65" w:rsidRDefault="005932EF" w:rsidP="00B30E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5C6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(n=1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00</w:t>
            </w:r>
            <w:r w:rsidRPr="00A75C6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932EF" w:rsidRPr="00A75C65" w:rsidRDefault="005932EF" w:rsidP="00B30E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TBI</w:t>
            </w:r>
          </w:p>
          <w:p w:rsidR="005932EF" w:rsidRPr="00A75C65" w:rsidRDefault="005932EF" w:rsidP="00B30E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5C6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(n=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30</w:t>
            </w:r>
            <w:r w:rsidRPr="00A75C6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214" w:type="dxa"/>
            <w:vAlign w:val="center"/>
          </w:tcPr>
          <w:p w:rsidR="005932EF" w:rsidRPr="00A75C65" w:rsidRDefault="005932EF" w:rsidP="00B30E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SAH</w:t>
            </w:r>
          </w:p>
          <w:p w:rsidR="005932EF" w:rsidRDefault="005932EF" w:rsidP="00B30E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5C6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(n=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47</w:t>
            </w:r>
            <w:r w:rsidRPr="00A75C6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023" w:type="dxa"/>
            <w:shd w:val="clear" w:color="auto" w:fill="auto"/>
            <w:noWrap/>
            <w:vAlign w:val="center"/>
          </w:tcPr>
          <w:p w:rsidR="005932EF" w:rsidRPr="00A75C65" w:rsidRDefault="005932EF" w:rsidP="00B30E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ICH</w:t>
            </w:r>
          </w:p>
          <w:p w:rsidR="005932EF" w:rsidRPr="00A75C65" w:rsidRDefault="005932EF" w:rsidP="00B30E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5C6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(n=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23</w:t>
            </w:r>
            <w:r w:rsidRPr="00A75C6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5932EF" w:rsidRPr="00A75C65" w:rsidTr="00B30E66">
        <w:trPr>
          <w:trHeight w:val="314"/>
        </w:trPr>
        <w:tc>
          <w:tcPr>
            <w:tcW w:w="4461" w:type="dxa"/>
            <w:shd w:val="clear" w:color="auto" w:fill="auto"/>
            <w:noWrap/>
            <w:vAlign w:val="center"/>
          </w:tcPr>
          <w:p w:rsidR="005932EF" w:rsidRPr="00A75C65" w:rsidRDefault="005932EF" w:rsidP="00B30E66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Abnormal NPI</w:t>
            </w:r>
            <w:r w:rsidR="0072780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, n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14" w:type="dxa"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3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5932EF" w:rsidRPr="00A75C65" w:rsidTr="00B30E66">
        <w:trPr>
          <w:trHeight w:val="314"/>
        </w:trPr>
        <w:tc>
          <w:tcPr>
            <w:tcW w:w="4461" w:type="dxa"/>
            <w:shd w:val="clear" w:color="auto" w:fill="auto"/>
            <w:noWrap/>
            <w:vAlign w:val="center"/>
          </w:tcPr>
          <w:p w:rsidR="005932EF" w:rsidRPr="00A75C65" w:rsidRDefault="005932EF" w:rsidP="00B30E66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Abnormal PI</w:t>
            </w:r>
            <w:r w:rsidR="0072780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, n</w:t>
            </w:r>
          </w:p>
        </w:tc>
        <w:tc>
          <w:tcPr>
            <w:tcW w:w="2127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14" w:type="dxa"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23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5932EF" w:rsidRPr="00A75C65" w:rsidTr="00B30E66">
        <w:trPr>
          <w:trHeight w:val="314"/>
        </w:trPr>
        <w:tc>
          <w:tcPr>
            <w:tcW w:w="4461" w:type="dxa"/>
            <w:shd w:val="clear" w:color="auto" w:fill="auto"/>
            <w:noWrap/>
            <w:vAlign w:val="center"/>
          </w:tcPr>
          <w:p w:rsidR="005932EF" w:rsidRPr="00A75C65" w:rsidRDefault="005932EF" w:rsidP="00B30E66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Abnormal ONSD</w:t>
            </w:r>
            <w:r w:rsidR="0072780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, n</w:t>
            </w:r>
          </w:p>
        </w:tc>
        <w:tc>
          <w:tcPr>
            <w:tcW w:w="2127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14" w:type="dxa"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23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5932EF" w:rsidRPr="00A75C65" w:rsidTr="00B30E66">
        <w:trPr>
          <w:trHeight w:val="314"/>
        </w:trPr>
        <w:tc>
          <w:tcPr>
            <w:tcW w:w="4461" w:type="dxa"/>
            <w:shd w:val="clear" w:color="auto" w:fill="auto"/>
            <w:noWrap/>
            <w:vAlign w:val="center"/>
          </w:tcPr>
          <w:p w:rsidR="005932EF" w:rsidRPr="00A75C65" w:rsidRDefault="005932EF" w:rsidP="00B30E66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Abnormal eICP</w:t>
            </w:r>
            <w:r w:rsidR="0072780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, n</w:t>
            </w:r>
          </w:p>
        </w:tc>
        <w:tc>
          <w:tcPr>
            <w:tcW w:w="2127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126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14" w:type="dxa"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3" w:type="dxa"/>
            <w:shd w:val="clear" w:color="auto" w:fill="auto"/>
            <w:noWrap/>
          </w:tcPr>
          <w:p w:rsidR="005932EF" w:rsidRPr="00A75C65" w:rsidRDefault="00971D75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5932EF" w:rsidRPr="00A75C65" w:rsidTr="00B30E66">
        <w:trPr>
          <w:trHeight w:val="314"/>
        </w:trPr>
        <w:tc>
          <w:tcPr>
            <w:tcW w:w="4461" w:type="dxa"/>
            <w:shd w:val="clear" w:color="auto" w:fill="auto"/>
            <w:noWrap/>
            <w:vAlign w:val="center"/>
          </w:tcPr>
          <w:p w:rsidR="005932EF" w:rsidRPr="00A75C65" w:rsidRDefault="00727808" w:rsidP="00B30E66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Intracranial Hypertension, n</w:t>
            </w:r>
          </w:p>
        </w:tc>
        <w:tc>
          <w:tcPr>
            <w:tcW w:w="2127" w:type="dxa"/>
            <w:shd w:val="clear" w:color="auto" w:fill="auto"/>
            <w:noWrap/>
          </w:tcPr>
          <w:p w:rsidR="005932EF" w:rsidRPr="00A75C65" w:rsidRDefault="00727808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126" w:type="dxa"/>
            <w:shd w:val="clear" w:color="auto" w:fill="auto"/>
            <w:noWrap/>
          </w:tcPr>
          <w:p w:rsidR="005932EF" w:rsidRPr="00A75C65" w:rsidRDefault="00727808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14" w:type="dxa"/>
          </w:tcPr>
          <w:p w:rsidR="005932EF" w:rsidRPr="00A75C65" w:rsidRDefault="00727808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23" w:type="dxa"/>
            <w:shd w:val="clear" w:color="auto" w:fill="auto"/>
            <w:noWrap/>
          </w:tcPr>
          <w:p w:rsidR="005932EF" w:rsidRPr="00A75C65" w:rsidRDefault="00727808" w:rsidP="00B30E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</w:tbl>
    <w:p w:rsidR="005932EF" w:rsidRDefault="005932EF" w:rsidP="005932EF">
      <w:pPr>
        <w:rPr>
          <w:rFonts w:ascii="Times New Roman" w:hAnsi="Times New Roman" w:cs="Times New Roman"/>
        </w:rPr>
      </w:pPr>
    </w:p>
    <w:p w:rsidR="005932EF" w:rsidRDefault="005932EF" w:rsidP="005932EF">
      <w:pPr>
        <w:rPr>
          <w:rFonts w:ascii="Times New Roman" w:hAnsi="Times New Roman" w:cs="Times New Roman"/>
        </w:rPr>
      </w:pPr>
      <w:r w:rsidRPr="001E5855">
        <w:rPr>
          <w:rFonts w:ascii="Times New Roman" w:hAnsi="Times New Roman" w:cs="Times New Roman"/>
          <w:highlight w:val="yellow"/>
        </w:rPr>
        <w:t>ONSD = optic nerve sheath diameter; PI = pulsatility index; ICP = intracranial pressure; eICP = estimated intracranial pressure; NPI = neurological pupil index</w:t>
      </w:r>
      <w:r w:rsidR="001E5855">
        <w:rPr>
          <w:rFonts w:ascii="Times New Roman" w:hAnsi="Times New Roman" w:cs="Times New Roman"/>
          <w:highlight w:val="yellow"/>
        </w:rPr>
        <w:t>; TBI = traumatic brain injury; SAH = subarachnoid hemorrhage; ICH = intracranial hemorrhage</w:t>
      </w:r>
    </w:p>
    <w:p w:rsidR="005932EF" w:rsidRDefault="005932EF" w:rsidP="005932EF">
      <w:pPr>
        <w:rPr>
          <w:rFonts w:ascii="Times New Roman" w:hAnsi="Times New Roman" w:cs="Times New Roman"/>
        </w:rPr>
      </w:pPr>
    </w:p>
    <w:p w:rsidR="005932EF" w:rsidRDefault="005932EF">
      <w:pPr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highlight w:val="yellow"/>
        </w:rPr>
        <w:br w:type="page"/>
      </w:r>
    </w:p>
    <w:p w:rsidR="00676A7E" w:rsidRDefault="00676A7E" w:rsidP="00676A7E">
      <w:pPr>
        <w:spacing w:line="360" w:lineRule="auto"/>
        <w:rPr>
          <w:rFonts w:ascii="Times New Roman" w:hAnsi="Times New Roman" w:cs="Times New Roman"/>
        </w:rPr>
      </w:pPr>
      <w:r w:rsidRPr="00A5419C">
        <w:rPr>
          <w:rFonts w:ascii="Times New Roman" w:hAnsi="Times New Roman" w:cs="Times New Roman"/>
          <w:b/>
          <w:highlight w:val="yellow"/>
        </w:rPr>
        <w:lastRenderedPageBreak/>
        <w:t>Supplemental Figure 1.</w:t>
      </w:r>
      <w:r w:rsidRPr="00A5419C">
        <w:rPr>
          <w:rFonts w:ascii="Times New Roman" w:hAnsi="Times New Roman" w:cs="Times New Roman"/>
          <w:highlight w:val="yellow"/>
        </w:rPr>
        <w:t xml:space="preserve"> Correlations and Bland-Altman graphs for ICP and estimated ICP (eCIP).  The continuous line shows the mean difference (bias) and the dotted lines show the limits of agreement (2.2±SD of the bias).</w:t>
      </w:r>
    </w:p>
    <w:p w:rsidR="00676A7E" w:rsidRDefault="00676A7E" w:rsidP="00676A7E">
      <w:pPr>
        <w:spacing w:line="360" w:lineRule="auto"/>
        <w:rPr>
          <w:rFonts w:ascii="Times New Roman" w:hAnsi="Times New Roman" w:cs="Times New Roman"/>
        </w:rPr>
      </w:pPr>
    </w:p>
    <w:p w:rsidR="00676A7E" w:rsidRDefault="00676A7E" w:rsidP="00676A7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756910" cy="405638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 Fig 1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A7E" w:rsidRDefault="00676A7E" w:rsidP="00676A7E">
      <w:pPr>
        <w:spacing w:line="360" w:lineRule="auto"/>
        <w:rPr>
          <w:rFonts w:ascii="Times New Roman" w:hAnsi="Times New Roman" w:cs="Times New Roman"/>
        </w:rPr>
      </w:pPr>
    </w:p>
    <w:p w:rsidR="00907607" w:rsidRDefault="00907607" w:rsidP="00676A7E">
      <w:pPr>
        <w:spacing w:line="360" w:lineRule="auto"/>
        <w:rPr>
          <w:rFonts w:ascii="Times New Roman" w:hAnsi="Times New Roman" w:cs="Times New Roman"/>
        </w:rPr>
      </w:pPr>
    </w:p>
    <w:p w:rsidR="00565E03" w:rsidRDefault="00565E03" w:rsidP="00A04CDA">
      <w:pPr>
        <w:spacing w:line="360" w:lineRule="auto"/>
        <w:rPr>
          <w:rFonts w:ascii="Times New Roman" w:hAnsi="Times New Roman" w:cs="Times New Roman"/>
          <w:b/>
          <w:highlight w:val="yellow"/>
        </w:rPr>
        <w:sectPr w:rsidR="00565E03" w:rsidSect="005932EF">
          <w:pgSz w:w="16820" w:h="11900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04CDA" w:rsidRDefault="00907607" w:rsidP="00A04CDA">
      <w:pPr>
        <w:spacing w:line="360" w:lineRule="auto"/>
        <w:rPr>
          <w:rFonts w:ascii="Times New Roman" w:hAnsi="Times New Roman" w:cs="Times New Roman"/>
        </w:rPr>
      </w:pPr>
      <w:r w:rsidRPr="00A5419C">
        <w:rPr>
          <w:rFonts w:ascii="Times New Roman" w:hAnsi="Times New Roman" w:cs="Times New Roman"/>
          <w:b/>
          <w:highlight w:val="yellow"/>
        </w:rPr>
        <w:lastRenderedPageBreak/>
        <w:t>Supplemental Figure 2.</w:t>
      </w:r>
      <w:r w:rsidRPr="00A5419C">
        <w:rPr>
          <w:rFonts w:ascii="Times New Roman" w:hAnsi="Times New Roman" w:cs="Times New Roman"/>
          <w:highlight w:val="yellow"/>
        </w:rPr>
        <w:t xml:space="preserve"> Correlations and Bland-Altman graphs for ICP and estimated ICP (eCIP).  The continuous line shows the mean difference (bias) and the dotted lines show the limits of agreement (2.2±SD of the bias). </w:t>
      </w:r>
      <w:r w:rsidR="00A04CDA" w:rsidRPr="00A5419C">
        <w:rPr>
          <w:rFonts w:ascii="Times New Roman" w:hAnsi="Times New Roman" w:cs="Times New Roman"/>
          <w:highlight w:val="yellow"/>
          <w:lang w:val="en-AU"/>
        </w:rPr>
        <w:t>The mean bias between ICP and eICP were: -1.37 mmHg (LoA -21.78 to 19.05 mmHg) for TBI; -0.68 mmHg (LoA -19.67 to 18.30 mmHg) for SAH; -3.91 mmHg (LoA -21.36 to 13.54 mmHg) for ICH.</w:t>
      </w:r>
    </w:p>
    <w:p w:rsidR="00A04CDA" w:rsidRDefault="00A04CDA" w:rsidP="00A04C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AU"/>
        </w:rPr>
        <w:t xml:space="preserve"> </w:t>
      </w:r>
    </w:p>
    <w:p w:rsidR="00907607" w:rsidRDefault="00A04CDA" w:rsidP="0090760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54866" cy="5779342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 Figure 2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592" cy="579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7607" w:rsidRDefault="00907607" w:rsidP="00676A7E">
      <w:pPr>
        <w:spacing w:line="360" w:lineRule="auto"/>
        <w:rPr>
          <w:rFonts w:ascii="Times New Roman" w:hAnsi="Times New Roman" w:cs="Times New Roman"/>
        </w:rPr>
      </w:pPr>
    </w:p>
    <w:p w:rsidR="00907607" w:rsidRDefault="00907607" w:rsidP="00907607">
      <w:pPr>
        <w:spacing w:line="360" w:lineRule="auto"/>
        <w:rPr>
          <w:rFonts w:ascii="Times New Roman" w:hAnsi="Times New Roman" w:cs="Times New Roman"/>
        </w:rPr>
      </w:pPr>
      <w:r w:rsidRPr="00A5419C">
        <w:rPr>
          <w:rFonts w:ascii="Times New Roman" w:hAnsi="Times New Roman" w:cs="Times New Roman"/>
          <w:highlight w:val="yellow"/>
        </w:rPr>
        <w:t>TBI = Traumatic Brain Injury; SAH = Subarachnoid Hemorrhage; ICH = Intracranial Hemorrhage</w:t>
      </w:r>
    </w:p>
    <w:sectPr w:rsidR="00907607" w:rsidSect="00565E03">
      <w:pgSz w:w="11900" w:h="1682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B90" w:rsidRDefault="00F20B90" w:rsidP="00A04CDA">
      <w:r>
        <w:separator/>
      </w:r>
    </w:p>
  </w:endnote>
  <w:endnote w:type="continuationSeparator" w:id="0">
    <w:p w:rsidR="00F20B90" w:rsidRDefault="00F20B90" w:rsidP="00A0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46755807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A04CDA" w:rsidRDefault="00A04CDA" w:rsidP="005A7E0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A04CDA" w:rsidRDefault="00A04CDA" w:rsidP="00A04CD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32247468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A04CDA" w:rsidRDefault="00A04CDA" w:rsidP="005A7E0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:rsidR="00A04CDA" w:rsidRDefault="00A04CDA" w:rsidP="00A04CD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B90" w:rsidRDefault="00F20B90" w:rsidP="00A04CDA">
      <w:r>
        <w:separator/>
      </w:r>
    </w:p>
  </w:footnote>
  <w:footnote w:type="continuationSeparator" w:id="0">
    <w:p w:rsidR="00F20B90" w:rsidRDefault="00F20B90" w:rsidP="00A04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79"/>
    <w:rsid w:val="00030A8F"/>
    <w:rsid w:val="001E5855"/>
    <w:rsid w:val="003031B0"/>
    <w:rsid w:val="00363CAA"/>
    <w:rsid w:val="0041455A"/>
    <w:rsid w:val="00427E68"/>
    <w:rsid w:val="00472210"/>
    <w:rsid w:val="00565E03"/>
    <w:rsid w:val="005932EF"/>
    <w:rsid w:val="0061258B"/>
    <w:rsid w:val="00676A7E"/>
    <w:rsid w:val="00727808"/>
    <w:rsid w:val="007D2BC8"/>
    <w:rsid w:val="00907607"/>
    <w:rsid w:val="0091306A"/>
    <w:rsid w:val="00971D75"/>
    <w:rsid w:val="00A04CDA"/>
    <w:rsid w:val="00A5419C"/>
    <w:rsid w:val="00B04B79"/>
    <w:rsid w:val="00B915B3"/>
    <w:rsid w:val="00C76889"/>
    <w:rsid w:val="00D64D1C"/>
    <w:rsid w:val="00D860DA"/>
    <w:rsid w:val="00EE3475"/>
    <w:rsid w:val="00F175C9"/>
    <w:rsid w:val="00F20B90"/>
    <w:rsid w:val="00FD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028121B-41B4-804A-83D4-005BE286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04B79"/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B04B79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4B79"/>
  </w:style>
  <w:style w:type="character" w:customStyle="1" w:styleId="CommentaireCar">
    <w:name w:val="Commentaire Car"/>
    <w:basedOn w:val="Policepardfaut"/>
    <w:link w:val="Commentaire"/>
    <w:uiPriority w:val="99"/>
    <w:semiHidden/>
    <w:rsid w:val="00B04B79"/>
    <w:rPr>
      <w:rFonts w:eastAsiaTheme="minorEastAsia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4B79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4B79"/>
    <w:rPr>
      <w:rFonts w:ascii="Times New Roman" w:eastAsiaTheme="minorEastAsia" w:hAnsi="Times New Roman" w:cs="Times New Roman"/>
      <w:sz w:val="18"/>
      <w:szCs w:val="18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04C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4CDA"/>
    <w:rPr>
      <w:rFonts w:eastAsiaTheme="minorEastAsia"/>
      <w:lang w:val="en-US"/>
    </w:rPr>
  </w:style>
  <w:style w:type="character" w:styleId="Numrodepage">
    <w:name w:val="page number"/>
    <w:basedOn w:val="Policepardfaut"/>
    <w:uiPriority w:val="99"/>
    <w:semiHidden/>
    <w:unhideWhenUsed/>
    <w:rsid w:val="00A04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721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Silvio Taccone</dc:creator>
  <cp:keywords/>
  <dc:description/>
  <cp:lastModifiedBy>Fabio Silvio Taccone</cp:lastModifiedBy>
  <cp:revision>12</cp:revision>
  <dcterms:created xsi:type="dcterms:W3CDTF">2020-01-03T10:24:00Z</dcterms:created>
  <dcterms:modified xsi:type="dcterms:W3CDTF">2020-06-13T17:03:00Z</dcterms:modified>
</cp:coreProperties>
</file>