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223" w:rsidRPr="00F354DE" w:rsidRDefault="00C40223" w:rsidP="00C40223">
      <w:pPr>
        <w:spacing w:line="480" w:lineRule="auto"/>
        <w:jc w:val="left"/>
      </w:pPr>
      <w:r w:rsidRPr="51459B50">
        <w:t>Causes and Characteristics of Death in Patients with Acute Hypoxemic Respiratory Failure and Acut</w:t>
      </w:r>
      <w:r>
        <w:t>e Respiratory Distress Syndrome: A Retrospective Cohort Study</w:t>
      </w:r>
    </w:p>
    <w:p w:rsidR="00C40223" w:rsidRPr="00F354DE" w:rsidRDefault="00C40223" w:rsidP="00C40223">
      <w:pPr>
        <w:spacing w:line="480" w:lineRule="auto"/>
        <w:jc w:val="left"/>
        <w:rPr>
          <w:rFonts w:cstheme="minorHAnsi"/>
          <w:b/>
        </w:rPr>
      </w:pPr>
    </w:p>
    <w:p w:rsidR="00C40223" w:rsidRPr="00F354DE" w:rsidRDefault="00C40223" w:rsidP="00C40223">
      <w:pPr>
        <w:spacing w:line="480" w:lineRule="auto"/>
        <w:jc w:val="left"/>
        <w:rPr>
          <w:rFonts w:cstheme="minorHAnsi"/>
          <w:b/>
        </w:rPr>
      </w:pPr>
      <w:r w:rsidRPr="00F354DE">
        <w:rPr>
          <w:rFonts w:cstheme="minorHAnsi"/>
          <w:b/>
        </w:rPr>
        <w:t>Online Supplemental Material</w:t>
      </w:r>
    </w:p>
    <w:p w:rsidR="00C40223" w:rsidRPr="00F354DE" w:rsidRDefault="00C40223" w:rsidP="00C40223">
      <w:pPr>
        <w:spacing w:line="480" w:lineRule="auto"/>
        <w:jc w:val="left"/>
        <w:rPr>
          <w:rFonts w:cstheme="minorHAnsi"/>
          <w:b/>
        </w:rPr>
      </w:pPr>
    </w:p>
    <w:p w:rsidR="00C40223" w:rsidRDefault="00C40223" w:rsidP="00C40223">
      <w:pPr>
        <w:spacing w:line="480" w:lineRule="auto"/>
        <w:jc w:val="left"/>
        <w:rPr>
          <w:vertAlign w:val="superscript"/>
        </w:rPr>
      </w:pPr>
      <w:r w:rsidRPr="51459B50">
        <w:t xml:space="preserve">Scott W. Ketcham, MD; Yub Raj Sedhai, MD; H. Catherine Miller, MD; Thomas C. Bolig, MD; Amy </w:t>
      </w:r>
      <w:r w:rsidR="00AE4E8C">
        <w:t>Ludwig</w:t>
      </w:r>
      <w:r w:rsidRPr="51459B50">
        <w:t xml:space="preserve">, MD; Ivan Co, MD, Dru Claar, MD, Jakob I. McSparron MD, Hallie </w:t>
      </w:r>
      <w:r w:rsidR="005E578D">
        <w:t xml:space="preserve">C. </w:t>
      </w:r>
      <w:r w:rsidRPr="51459B50">
        <w:t>Prescott, MD, MSc; Michael W. Sjoding, MD, MS</w:t>
      </w:r>
    </w:p>
    <w:p w:rsidR="00C40223" w:rsidRPr="00EB51D8" w:rsidRDefault="00C40223" w:rsidP="00C40223">
      <w:pPr>
        <w:spacing w:line="480" w:lineRule="auto"/>
        <w:jc w:val="left"/>
        <w:rPr>
          <w:vertAlign w:val="superscript"/>
        </w:rPr>
      </w:pPr>
    </w:p>
    <w:p w:rsidR="00C40223" w:rsidRDefault="00C40223" w:rsidP="00C40223">
      <w:pPr>
        <w:spacing w:line="480" w:lineRule="auto"/>
        <w:jc w:val="left"/>
        <w:rPr>
          <w:rFonts w:cstheme="minorHAnsi"/>
        </w:rPr>
      </w:pPr>
      <w:r w:rsidRPr="00F354DE">
        <w:rPr>
          <w:rFonts w:cstheme="minorHAnsi"/>
          <w:b/>
        </w:rPr>
        <w:t>Table of Contents</w:t>
      </w:r>
    </w:p>
    <w:p w:rsidR="00C40223" w:rsidRDefault="00C40223" w:rsidP="00C40223">
      <w:pPr>
        <w:spacing w:line="480" w:lineRule="auto"/>
        <w:jc w:val="both"/>
        <w:rPr>
          <w:rFonts w:cstheme="minorHAnsi"/>
        </w:rPr>
      </w:pPr>
      <w:r>
        <w:rPr>
          <w:rFonts w:cstheme="minorHAnsi"/>
        </w:rPr>
        <w:t xml:space="preserve">Appendix 1: </w:t>
      </w:r>
      <w:proofErr w:type="spellStart"/>
      <w:r>
        <w:rPr>
          <w:rFonts w:cstheme="minorHAnsi"/>
        </w:rPr>
        <w:t>RedCAP</w:t>
      </w:r>
      <w:proofErr w:type="spellEnd"/>
      <w:r>
        <w:rPr>
          <w:rFonts w:cstheme="minorHAnsi"/>
        </w:rPr>
        <w:t xml:space="preserve"> Abstraction Tool . . . . . . . . . . . . . . . . . . . . . . . . . . . . . . . . . . . . . . . . </w:t>
      </w:r>
      <w:r w:rsidR="00CA2393">
        <w:rPr>
          <w:rFonts w:cstheme="minorHAnsi"/>
        </w:rPr>
        <w:t xml:space="preserve">. . . . . . . . . . . </w:t>
      </w:r>
      <w:proofErr w:type="gramStart"/>
      <w:r w:rsidR="00CA2393">
        <w:rPr>
          <w:rFonts w:cstheme="minorHAnsi"/>
        </w:rPr>
        <w:t>. . . .</w:t>
      </w:r>
      <w:proofErr w:type="gramEnd"/>
      <w:r w:rsidR="00CA2393">
        <w:rPr>
          <w:rFonts w:cstheme="minorHAnsi"/>
        </w:rPr>
        <w:t xml:space="preserve"> . 2</w:t>
      </w:r>
    </w:p>
    <w:p w:rsidR="00C40223" w:rsidRDefault="00C40223" w:rsidP="00C40223">
      <w:pPr>
        <w:spacing w:line="480" w:lineRule="auto"/>
        <w:jc w:val="both"/>
        <w:rPr>
          <w:rFonts w:cstheme="minorHAnsi"/>
        </w:rPr>
      </w:pPr>
      <w:r>
        <w:rPr>
          <w:rFonts w:cstheme="minorHAnsi"/>
        </w:rPr>
        <w:t>Appendix 2: Inter-rate</w:t>
      </w:r>
      <w:r w:rsidR="005E4686">
        <w:rPr>
          <w:rFonts w:cstheme="minorHAnsi"/>
        </w:rPr>
        <w:t>r</w:t>
      </w:r>
      <w:r>
        <w:rPr>
          <w:rFonts w:cstheme="minorHAnsi"/>
        </w:rPr>
        <w:t xml:space="preserve"> Reliability . . . . . . . . . . . . . . . . . . . . . . . . . . . . . . . . . . . . . . . . . . . .</w:t>
      </w:r>
      <w:r w:rsidR="00CA2393">
        <w:rPr>
          <w:rFonts w:cstheme="minorHAnsi"/>
        </w:rPr>
        <w:t xml:space="preserve"> . . . . . . . . . . </w:t>
      </w:r>
      <w:proofErr w:type="gramStart"/>
      <w:r w:rsidR="00CA2393">
        <w:rPr>
          <w:rFonts w:cstheme="minorHAnsi"/>
        </w:rPr>
        <w:t>. . . .</w:t>
      </w:r>
      <w:proofErr w:type="gramEnd"/>
      <w:r w:rsidR="00CA2393">
        <w:rPr>
          <w:rFonts w:cstheme="minorHAnsi"/>
        </w:rPr>
        <w:t xml:space="preserve"> . 6</w:t>
      </w:r>
    </w:p>
    <w:p w:rsidR="00C40223" w:rsidRDefault="00C40223" w:rsidP="00C40223">
      <w:pPr>
        <w:spacing w:line="480" w:lineRule="auto"/>
        <w:jc w:val="both"/>
        <w:rPr>
          <w:rFonts w:cstheme="minorHAnsi"/>
        </w:rPr>
      </w:pPr>
      <w:r>
        <w:rPr>
          <w:rFonts w:cstheme="minorHAnsi"/>
        </w:rPr>
        <w:t xml:space="preserve">Appendix 3: Previous definition of severe and irreversible sepsis syndrome . . . . . . . . . </w:t>
      </w:r>
      <w:r w:rsidR="00CA2393">
        <w:rPr>
          <w:rFonts w:cstheme="minorHAnsi"/>
        </w:rPr>
        <w:t xml:space="preserve">. . . . . . . . . . . . . . . </w:t>
      </w:r>
      <w:bookmarkStart w:id="0" w:name="_GoBack"/>
      <w:bookmarkEnd w:id="0"/>
      <w:r w:rsidR="00CA2393">
        <w:rPr>
          <w:rFonts w:cstheme="minorHAnsi"/>
        </w:rPr>
        <w:t xml:space="preserve"> 6</w:t>
      </w:r>
    </w:p>
    <w:p w:rsidR="00C40223" w:rsidRDefault="00C40223" w:rsidP="00C40223">
      <w:pPr>
        <w:spacing w:line="480" w:lineRule="auto"/>
        <w:jc w:val="both"/>
        <w:rPr>
          <w:rFonts w:cstheme="minorHAnsi"/>
        </w:rPr>
      </w:pPr>
      <w:r>
        <w:rPr>
          <w:rFonts w:cstheme="minorHAnsi"/>
        </w:rPr>
        <w:t>Appendix 4: Examples . . . . . . . . . . . . . . . . . . . . . . . . . . . . . . . . . . . . . . . . . . . . . . . . . . . . . .</w:t>
      </w:r>
      <w:r w:rsidR="00CA2393">
        <w:rPr>
          <w:rFonts w:cstheme="minorHAnsi"/>
        </w:rPr>
        <w:t xml:space="preserve"> . . . . . . . . . . . . . . . 7</w:t>
      </w:r>
    </w:p>
    <w:p w:rsidR="00C40223" w:rsidRDefault="00C40223" w:rsidP="00C40223">
      <w:pPr>
        <w:spacing w:line="480" w:lineRule="auto"/>
        <w:jc w:val="both"/>
        <w:rPr>
          <w:rFonts w:cstheme="minorHAnsi"/>
        </w:rPr>
      </w:pPr>
      <w:r>
        <w:rPr>
          <w:rFonts w:cstheme="minorHAnsi"/>
        </w:rPr>
        <w:t xml:space="preserve">Appendix 5: Determining cause of death by organ system . . . . . . . . . . . . . . . . . . . . . . . </w:t>
      </w:r>
      <w:r w:rsidR="00CA2393">
        <w:rPr>
          <w:rFonts w:cstheme="minorHAnsi"/>
        </w:rPr>
        <w:t>. . . . . . . . . . . . . . . . 8</w:t>
      </w:r>
    </w:p>
    <w:p w:rsidR="005E578D" w:rsidRDefault="009F0B15" w:rsidP="00C40223">
      <w:pPr>
        <w:spacing w:line="480" w:lineRule="auto"/>
        <w:jc w:val="both"/>
        <w:rPr>
          <w:rFonts w:cstheme="minorHAnsi"/>
        </w:rPr>
      </w:pPr>
      <w:r>
        <w:rPr>
          <w:rFonts w:eastAsia="Times New Roman" w:cstheme="minorHAnsi"/>
          <w:bCs/>
          <w:color w:val="000000"/>
        </w:rPr>
        <w:t>eTable 1</w:t>
      </w:r>
      <w:r w:rsidR="00C40223" w:rsidRPr="0021003E">
        <w:rPr>
          <w:rFonts w:eastAsia="Times New Roman" w:cstheme="minorHAnsi"/>
          <w:bCs/>
          <w:color w:val="000000"/>
        </w:rPr>
        <w:t>: Total Organ System Dysfunction</w:t>
      </w:r>
      <w:r w:rsidR="00C40223">
        <w:rPr>
          <w:rFonts w:eastAsia="Times New Roman" w:cstheme="minorHAnsi"/>
          <w:bCs/>
          <w:color w:val="000000"/>
        </w:rPr>
        <w:t xml:space="preserve"> </w:t>
      </w:r>
      <w:r w:rsidR="00C40223">
        <w:rPr>
          <w:rFonts w:cstheme="minorHAnsi"/>
        </w:rPr>
        <w:t>. . . . . . . . . . . . . . . . . . . . . . . . . . . . . . . . . . . . . . . . . . . . . . .</w:t>
      </w:r>
      <w:r w:rsidR="00802280">
        <w:rPr>
          <w:rFonts w:cstheme="minorHAnsi"/>
        </w:rPr>
        <w:t xml:space="preserve"> . </w:t>
      </w:r>
      <w:proofErr w:type="gramStart"/>
      <w:r w:rsidR="00802280">
        <w:rPr>
          <w:rFonts w:cstheme="minorHAnsi"/>
        </w:rPr>
        <w:t>. . . .</w:t>
      </w:r>
      <w:proofErr w:type="gramEnd"/>
      <w:r w:rsidR="00802280">
        <w:rPr>
          <w:rFonts w:cstheme="minorHAnsi"/>
        </w:rPr>
        <w:t xml:space="preserve"> 9</w:t>
      </w:r>
    </w:p>
    <w:p w:rsidR="00C40223" w:rsidRPr="0045086A" w:rsidRDefault="009F0B15" w:rsidP="00C40223">
      <w:pPr>
        <w:spacing w:line="480" w:lineRule="auto"/>
        <w:jc w:val="both"/>
        <w:rPr>
          <w:rFonts w:cstheme="minorHAnsi"/>
        </w:rPr>
      </w:pPr>
      <w:r>
        <w:rPr>
          <w:rFonts w:cstheme="minorHAnsi"/>
        </w:rPr>
        <w:t>eTable 2</w:t>
      </w:r>
      <w:r w:rsidR="005E578D">
        <w:rPr>
          <w:rFonts w:cstheme="minorHAnsi"/>
        </w:rPr>
        <w:t xml:space="preserve">: Cause of Death by ICU Setting . . . . . . . . . . . . . . . . . . . . . . . . . . . . . . . . . . . . . . </w:t>
      </w:r>
      <w:r w:rsidR="00802280">
        <w:rPr>
          <w:rFonts w:cstheme="minorHAnsi"/>
        </w:rPr>
        <w:t>. . . . . . . . . . . . . . . . 9</w:t>
      </w:r>
      <w:r w:rsidR="00C40223">
        <w:rPr>
          <w:rFonts w:cstheme="minorHAnsi"/>
          <w:b/>
        </w:rPr>
        <w:br w:type="page"/>
      </w:r>
    </w:p>
    <w:p w:rsidR="00C40223" w:rsidRPr="00F354DE" w:rsidRDefault="00C40223" w:rsidP="00C40223">
      <w:pPr>
        <w:spacing w:line="480" w:lineRule="auto"/>
        <w:jc w:val="left"/>
        <w:rPr>
          <w:rFonts w:cstheme="minorHAnsi"/>
          <w:b/>
        </w:rPr>
      </w:pPr>
      <w:r w:rsidRPr="00F354DE">
        <w:rPr>
          <w:rFonts w:cstheme="minorHAnsi"/>
          <w:b/>
        </w:rPr>
        <w:lastRenderedPageBreak/>
        <w:t xml:space="preserve">Appendix 1: </w:t>
      </w:r>
      <w:proofErr w:type="spellStart"/>
      <w:r w:rsidRPr="00F354DE">
        <w:rPr>
          <w:rFonts w:cstheme="minorHAnsi"/>
          <w:b/>
        </w:rPr>
        <w:t>RedCAP</w:t>
      </w:r>
      <w:proofErr w:type="spellEnd"/>
      <w:r w:rsidRPr="00F354DE">
        <w:rPr>
          <w:rFonts w:cstheme="minorHAnsi"/>
          <w:b/>
        </w:rPr>
        <w:t xml:space="preserve"> Abstraction Tool</w:t>
      </w:r>
    </w:p>
    <w:p w:rsidR="00C40223" w:rsidRPr="00F354DE" w:rsidRDefault="00C40223" w:rsidP="00C40223">
      <w:pPr>
        <w:spacing w:line="480" w:lineRule="auto"/>
        <w:jc w:val="left"/>
        <w:rPr>
          <w:rFonts w:cstheme="minorHAnsi"/>
        </w:rPr>
      </w:pPr>
      <w:r>
        <w:rPr>
          <w:noProof/>
        </w:rPr>
        <w:drawing>
          <wp:inline distT="0" distB="0" distL="0" distR="0" wp14:anchorId="7B9E4C13" wp14:editId="02D977F5">
            <wp:extent cx="5943600" cy="6049643"/>
            <wp:effectExtent l="0" t="0" r="0" b="8255"/>
            <wp:docPr id="1536523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943600" cy="6049643"/>
                    </a:xfrm>
                    <a:prstGeom prst="rect">
                      <a:avLst/>
                    </a:prstGeom>
                  </pic:spPr>
                </pic:pic>
              </a:graphicData>
            </a:graphic>
          </wp:inline>
        </w:drawing>
      </w:r>
    </w:p>
    <w:p w:rsidR="00C40223" w:rsidRPr="00F354DE" w:rsidRDefault="00C40223" w:rsidP="00C40223">
      <w:pPr>
        <w:spacing w:line="480" w:lineRule="auto"/>
        <w:jc w:val="left"/>
        <w:rPr>
          <w:rFonts w:cstheme="minorHAnsi"/>
        </w:rPr>
      </w:pPr>
      <w:r>
        <w:rPr>
          <w:noProof/>
        </w:rPr>
        <w:lastRenderedPageBreak/>
        <w:drawing>
          <wp:inline distT="0" distB="0" distL="0" distR="0" wp14:anchorId="6BDB99A3" wp14:editId="62A205CA">
            <wp:extent cx="5943600" cy="6757672"/>
            <wp:effectExtent l="0" t="0" r="0" b="5080"/>
            <wp:docPr id="10854925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8">
                      <a:extLst>
                        <a:ext uri="{28A0092B-C50C-407E-A947-70E740481C1C}">
                          <a14:useLocalDpi xmlns:a14="http://schemas.microsoft.com/office/drawing/2010/main" val="0"/>
                        </a:ext>
                      </a:extLst>
                    </a:blip>
                    <a:stretch>
                      <a:fillRect/>
                    </a:stretch>
                  </pic:blipFill>
                  <pic:spPr>
                    <a:xfrm>
                      <a:off x="0" y="0"/>
                      <a:ext cx="5943600" cy="6757672"/>
                    </a:xfrm>
                    <a:prstGeom prst="rect">
                      <a:avLst/>
                    </a:prstGeom>
                  </pic:spPr>
                </pic:pic>
              </a:graphicData>
            </a:graphic>
          </wp:inline>
        </w:drawing>
      </w:r>
    </w:p>
    <w:p w:rsidR="00C40223" w:rsidRPr="00F354DE" w:rsidRDefault="00C40223" w:rsidP="00C40223">
      <w:pPr>
        <w:spacing w:line="480" w:lineRule="auto"/>
        <w:jc w:val="left"/>
        <w:rPr>
          <w:rFonts w:cstheme="minorHAnsi"/>
        </w:rPr>
      </w:pPr>
      <w:r>
        <w:rPr>
          <w:noProof/>
        </w:rPr>
        <w:lastRenderedPageBreak/>
        <w:drawing>
          <wp:inline distT="0" distB="0" distL="0" distR="0" wp14:anchorId="7CC505CC" wp14:editId="2D7C6722">
            <wp:extent cx="5943600" cy="2734310"/>
            <wp:effectExtent l="0" t="0" r="0" b="8890"/>
            <wp:docPr id="4074475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9">
                      <a:extLst>
                        <a:ext uri="{28A0092B-C50C-407E-A947-70E740481C1C}">
                          <a14:useLocalDpi xmlns:a14="http://schemas.microsoft.com/office/drawing/2010/main" val="0"/>
                        </a:ext>
                      </a:extLst>
                    </a:blip>
                    <a:stretch>
                      <a:fillRect/>
                    </a:stretch>
                  </pic:blipFill>
                  <pic:spPr>
                    <a:xfrm>
                      <a:off x="0" y="0"/>
                      <a:ext cx="5943600" cy="2734310"/>
                    </a:xfrm>
                    <a:prstGeom prst="rect">
                      <a:avLst/>
                    </a:prstGeom>
                  </pic:spPr>
                </pic:pic>
              </a:graphicData>
            </a:graphic>
          </wp:inline>
        </w:drawing>
      </w:r>
    </w:p>
    <w:p w:rsidR="00C40223" w:rsidRPr="00F354DE" w:rsidRDefault="00C40223" w:rsidP="00C40223">
      <w:pPr>
        <w:spacing w:line="480" w:lineRule="auto"/>
        <w:jc w:val="left"/>
        <w:rPr>
          <w:rFonts w:cstheme="minorHAnsi"/>
        </w:rPr>
      </w:pPr>
      <w:r>
        <w:rPr>
          <w:noProof/>
        </w:rPr>
        <w:lastRenderedPageBreak/>
        <w:drawing>
          <wp:inline distT="0" distB="0" distL="0" distR="0" wp14:anchorId="188D5F4B" wp14:editId="028D6EDB">
            <wp:extent cx="5943600" cy="7347583"/>
            <wp:effectExtent l="0" t="0" r="0" b="5715"/>
            <wp:docPr id="11559140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0">
                      <a:extLst>
                        <a:ext uri="{28A0092B-C50C-407E-A947-70E740481C1C}">
                          <a14:useLocalDpi xmlns:a14="http://schemas.microsoft.com/office/drawing/2010/main" val="0"/>
                        </a:ext>
                      </a:extLst>
                    </a:blip>
                    <a:stretch>
                      <a:fillRect/>
                    </a:stretch>
                  </pic:blipFill>
                  <pic:spPr>
                    <a:xfrm>
                      <a:off x="0" y="0"/>
                      <a:ext cx="5943600" cy="7347583"/>
                    </a:xfrm>
                    <a:prstGeom prst="rect">
                      <a:avLst/>
                    </a:prstGeom>
                  </pic:spPr>
                </pic:pic>
              </a:graphicData>
            </a:graphic>
          </wp:inline>
        </w:drawing>
      </w:r>
    </w:p>
    <w:p w:rsidR="00C40223" w:rsidRPr="00F354DE" w:rsidRDefault="00C40223" w:rsidP="00C40223">
      <w:pPr>
        <w:spacing w:line="480" w:lineRule="auto"/>
        <w:jc w:val="left"/>
        <w:rPr>
          <w:rFonts w:cstheme="minorHAnsi"/>
        </w:rPr>
      </w:pPr>
      <w:r>
        <w:rPr>
          <w:noProof/>
        </w:rPr>
        <w:drawing>
          <wp:inline distT="0" distB="0" distL="0" distR="0" wp14:anchorId="06E27A4A" wp14:editId="397A1B3D">
            <wp:extent cx="5943600" cy="476250"/>
            <wp:effectExtent l="0" t="0" r="0" b="0"/>
            <wp:docPr id="1701684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5943600" cy="476250"/>
                    </a:xfrm>
                    <a:prstGeom prst="rect">
                      <a:avLst/>
                    </a:prstGeom>
                  </pic:spPr>
                </pic:pic>
              </a:graphicData>
            </a:graphic>
          </wp:inline>
        </w:drawing>
      </w:r>
    </w:p>
    <w:p w:rsidR="00C40223" w:rsidRPr="00F354DE" w:rsidRDefault="00C40223" w:rsidP="00C40223">
      <w:pPr>
        <w:spacing w:line="480" w:lineRule="auto"/>
        <w:jc w:val="left"/>
        <w:rPr>
          <w:rFonts w:cstheme="minorHAnsi"/>
        </w:rPr>
      </w:pPr>
      <w:r w:rsidRPr="00F354DE">
        <w:rPr>
          <w:rFonts w:cstheme="minorHAnsi"/>
          <w:b/>
        </w:rPr>
        <w:lastRenderedPageBreak/>
        <w:t>Appendix 2: Inter-rater Reliability</w:t>
      </w:r>
    </w:p>
    <w:p w:rsidR="00C40223" w:rsidRDefault="00C40223" w:rsidP="00C40223">
      <w:pPr>
        <w:spacing w:line="480" w:lineRule="auto"/>
        <w:jc w:val="left"/>
        <w:rPr>
          <w:rFonts w:cstheme="minorHAnsi"/>
        </w:rPr>
      </w:pPr>
      <w:r w:rsidRPr="00F354DE">
        <w:rPr>
          <w:rFonts w:cstheme="minorHAnsi"/>
        </w:rPr>
        <w:t xml:space="preserve">In order to measure inter-rater reliability, each of the 5 physician abstractors reviewed the same 10 charts. There was excellent agreement in identifying patients in whom death was primarily the result of progression of the presenting illness (kappa = 0.8217), was primarily the result of </w:t>
      </w:r>
      <w:r w:rsidR="00AD104F" w:rsidRPr="00AD104F">
        <w:rPr>
          <w:rFonts w:cstheme="minorHAnsi"/>
          <w:highlight w:val="yellow"/>
        </w:rPr>
        <w:t>pulmonary dysfunction</w:t>
      </w:r>
      <w:r w:rsidRPr="00F354DE">
        <w:rPr>
          <w:rFonts w:cstheme="minorHAnsi"/>
        </w:rPr>
        <w:t xml:space="preserve"> (kappa = 0.9151), or was primarily the result of complications occurring after the onset of respiratory failure (kappa = 0.9008). </w:t>
      </w:r>
    </w:p>
    <w:p w:rsidR="00C40223" w:rsidRPr="00F354DE" w:rsidRDefault="00C40223" w:rsidP="00C40223">
      <w:pPr>
        <w:spacing w:line="480" w:lineRule="auto"/>
        <w:jc w:val="left"/>
        <w:rPr>
          <w:rFonts w:cstheme="minorHAnsi"/>
        </w:rPr>
      </w:pPr>
    </w:p>
    <w:p w:rsidR="00C40223" w:rsidRPr="00F354DE" w:rsidRDefault="00C40223" w:rsidP="00C40223">
      <w:pPr>
        <w:spacing w:line="480" w:lineRule="auto"/>
        <w:jc w:val="left"/>
        <w:rPr>
          <w:rFonts w:cstheme="minorHAnsi"/>
          <w:b/>
          <w:iCs/>
        </w:rPr>
      </w:pPr>
      <w:r>
        <w:rPr>
          <w:rFonts w:cstheme="minorHAnsi"/>
          <w:b/>
          <w:iCs/>
        </w:rPr>
        <w:t>Appendix 3</w:t>
      </w:r>
      <w:r w:rsidRPr="00F354DE">
        <w:rPr>
          <w:rFonts w:cstheme="minorHAnsi"/>
          <w:b/>
          <w:iCs/>
        </w:rPr>
        <w:t>: Previous definition of severe and irreversible sepsis syndrome</w:t>
      </w:r>
      <w:r w:rsidRPr="00F354DE">
        <w:rPr>
          <w:rFonts w:cstheme="minorHAnsi"/>
          <w:b/>
          <w:iCs/>
        </w:rPr>
        <w:fldChar w:fldCharType="begin" w:fldLock="1"/>
      </w:r>
      <w:r>
        <w:rPr>
          <w:rFonts w:cstheme="minorHAnsi"/>
          <w:b/>
          <w:iCs/>
        </w:rPr>
        <w:instrText>ADDIN CSL_CITATION {"citationItems":[{"id":"ITEM-1","itemData":{"DOI":"10.1378/chest.128.2.525","ISSN":"00123692","abstract":"Background: Since the early 1980s, case fatality of patients with ARDS has decreased, and explanations are unclear. Design and methods: Using identical definitions of ARDS and organ failure, we analyzed consecutive cohorts of patients meeting syndrome criteria at our institution in 1982 (n = 46), 1990 (n = 112), 1994 (n = 99), and 1998 (n = 205) to determine causes and timing of death. Results: Overall case fatality has decreased from 68% in 1981-1982 to a low of 29% in 1996, plateauing since the mid-1990s (p = 0.001 for trend). Sepsis syndrome with multiple organ failure remains the most common cause of death (30 to 50%), while respiratory failure causes a small percentage (13 to 19%) of deaths. The distribution of causes of death has not changed over time. There was no change in the timing of death during the study periods: 26 to 44% of deaths occurred early (&lt; 72 h after ARDS onset), and 56 to 74% occurred late (&gt; 72 h after ARDS onset). However, the increased survival over the past 2 decades is entirely accounted for by patients who present with trauma and other risk factors for their ARDS, while survival for those patients whose risk factor is sepsis has not changed. Additionally, withdrawal of life support in these patients is now occurring at our institution significantly more frequently than in the past, and median time until death has decreased in patients who have support withdrawn. Conclusions: While these results do not explain the overall case fatality decline in ARDS, they do indicate that sepsis syndrome remains the leading cause of death and suggest that future therapies to improve survival be targeted at reducing the complications of sepsis.","author":[{"dropping-particle":"","family":"Stapleton","given":"Renee D.","non-dropping-particle":"","parse-names":false,"suffix":""},{"dropping-particle":"","family":"Wang","given":"Bennet M.","non-dropping-particle":"","parse-names":false,"suffix":""},{"dropping-particle":"","family":"Hudson","given":"Leonard D.","non-dropping-particle":"","parse-names":false,"suffix":""},{"dropping-particle":"","family":"Rubenfeld","given":"Gordon D.","non-dropping-particle":"","parse-names":false,"suffix":""},{"dropping-particle":"","family":"Caldwell","given":"Ellen S.","non-dropping-particle":"","parse-names":false,"suffix":""},{"dropping-particle":"","family":"Steinberg","given":"Kenneth P.","non-dropping-particle":"","parse-names":false,"suffix":""}],"container-title":"Chest","id":"ITEM-1","issue":"2","issued":{"date-parts":[["2005"]]},"page":"525-532","publisher":"American College of Chest Physicians","title":"Causes and timing of death in patients with ARDS","type":"article-journal","volume":"128"},"uris":["http://www.mendeley.com/documents/?uuid=b17000af-4969-3ab0-a7c2-b4dfa4948d7e"]}],"mendeley":{"formattedCitation":"(3)","plainTextFormattedCitation":"(3)","previouslyFormattedCitation":"(3)"},"properties":{"noteIndex":0},"schema":"https://github.com/citation-style-language/schema/raw/master/csl-citation.json"}</w:instrText>
      </w:r>
      <w:r w:rsidRPr="00F354DE">
        <w:rPr>
          <w:rFonts w:cstheme="minorHAnsi"/>
          <w:b/>
          <w:iCs/>
        </w:rPr>
        <w:fldChar w:fldCharType="separate"/>
      </w:r>
      <w:r w:rsidRPr="008F0C6F">
        <w:rPr>
          <w:rFonts w:cstheme="minorHAnsi"/>
          <w:iCs/>
          <w:noProof/>
        </w:rPr>
        <w:t>(3)</w:t>
      </w:r>
      <w:r w:rsidRPr="00F354DE">
        <w:rPr>
          <w:rFonts w:cstheme="minorHAnsi"/>
          <w:b/>
          <w:iCs/>
        </w:rPr>
        <w:fldChar w:fldCharType="end"/>
      </w:r>
    </w:p>
    <w:p w:rsidR="00C40223" w:rsidRPr="00F354DE" w:rsidRDefault="00C40223" w:rsidP="00C40223">
      <w:pPr>
        <w:spacing w:line="480" w:lineRule="auto"/>
        <w:jc w:val="left"/>
        <w:rPr>
          <w:rFonts w:cstheme="minorHAnsi"/>
          <w:iCs/>
        </w:rPr>
      </w:pPr>
      <w:r w:rsidRPr="00F354DE">
        <w:rPr>
          <w:rFonts w:cstheme="minorHAnsi"/>
          <w:iCs/>
        </w:rPr>
        <w:t>Severe Sepsis Syndrome: At least one criteria from each of the following categories plus one criteria from either category.</w:t>
      </w:r>
    </w:p>
    <w:p w:rsidR="00C40223" w:rsidRPr="00F354DE" w:rsidRDefault="00C40223" w:rsidP="00C40223">
      <w:pPr>
        <w:spacing w:line="480" w:lineRule="auto"/>
        <w:jc w:val="left"/>
        <w:rPr>
          <w:rFonts w:cstheme="minorHAnsi"/>
          <w:iCs/>
        </w:rPr>
      </w:pPr>
      <w:r w:rsidRPr="00F354DE">
        <w:rPr>
          <w:rFonts w:cstheme="minorHAnsi"/>
          <w:iCs/>
        </w:rPr>
        <w:tab/>
        <w:t>Infection/inflammation</w:t>
      </w:r>
    </w:p>
    <w:p w:rsidR="00C40223" w:rsidRPr="00F354DE" w:rsidRDefault="00C40223" w:rsidP="00C40223">
      <w:pPr>
        <w:pStyle w:val="ListParagraph"/>
        <w:numPr>
          <w:ilvl w:val="0"/>
          <w:numId w:val="1"/>
        </w:numPr>
        <w:spacing w:line="480" w:lineRule="auto"/>
        <w:jc w:val="left"/>
        <w:rPr>
          <w:rFonts w:cstheme="minorHAnsi"/>
          <w:iCs/>
        </w:rPr>
      </w:pPr>
      <w:r w:rsidRPr="00F354DE">
        <w:rPr>
          <w:rFonts w:cstheme="minorHAnsi"/>
          <w:iCs/>
        </w:rPr>
        <w:t>Temperature &lt; 35°C or ≥ 39°C</w:t>
      </w:r>
    </w:p>
    <w:p w:rsidR="00C40223" w:rsidRPr="00F354DE" w:rsidRDefault="00C40223" w:rsidP="00C40223">
      <w:pPr>
        <w:pStyle w:val="ListParagraph"/>
        <w:numPr>
          <w:ilvl w:val="0"/>
          <w:numId w:val="1"/>
        </w:numPr>
        <w:spacing w:line="480" w:lineRule="auto"/>
        <w:jc w:val="left"/>
        <w:rPr>
          <w:rFonts w:cstheme="minorHAnsi"/>
          <w:iCs/>
        </w:rPr>
      </w:pPr>
      <w:r w:rsidRPr="00F354DE">
        <w:rPr>
          <w:rFonts w:cstheme="minorHAnsi"/>
          <w:iCs/>
        </w:rPr>
        <w:t>WBC &lt; 3,000/μL or &gt; 12,000/μL or &gt; 10% bands</w:t>
      </w:r>
    </w:p>
    <w:p w:rsidR="00C40223" w:rsidRPr="00F354DE" w:rsidRDefault="00C40223" w:rsidP="00C40223">
      <w:pPr>
        <w:pStyle w:val="ListParagraph"/>
        <w:numPr>
          <w:ilvl w:val="0"/>
          <w:numId w:val="1"/>
        </w:numPr>
        <w:spacing w:line="480" w:lineRule="auto"/>
        <w:jc w:val="left"/>
        <w:rPr>
          <w:rFonts w:cstheme="minorHAnsi"/>
          <w:iCs/>
        </w:rPr>
      </w:pPr>
      <w:r w:rsidRPr="00F354DE">
        <w:rPr>
          <w:rFonts w:cstheme="minorHAnsi"/>
          <w:iCs/>
        </w:rPr>
        <w:t>Positive blood culture of accepted pathogen</w:t>
      </w:r>
    </w:p>
    <w:p w:rsidR="00C40223" w:rsidRPr="00F354DE" w:rsidRDefault="00C40223" w:rsidP="00C40223">
      <w:pPr>
        <w:pStyle w:val="ListParagraph"/>
        <w:numPr>
          <w:ilvl w:val="0"/>
          <w:numId w:val="1"/>
        </w:numPr>
        <w:spacing w:line="480" w:lineRule="auto"/>
        <w:jc w:val="left"/>
        <w:rPr>
          <w:rFonts w:cstheme="minorHAnsi"/>
          <w:iCs/>
        </w:rPr>
      </w:pPr>
      <w:r w:rsidRPr="00F354DE">
        <w:rPr>
          <w:rFonts w:cstheme="minorHAnsi"/>
          <w:iCs/>
        </w:rPr>
        <w:t>Known or strongly suspected source of systemic infection with culture known pathogens</w:t>
      </w:r>
    </w:p>
    <w:p w:rsidR="00C40223" w:rsidRPr="00F354DE" w:rsidRDefault="00C40223" w:rsidP="00C40223">
      <w:pPr>
        <w:spacing w:line="480" w:lineRule="auto"/>
        <w:ind w:left="720"/>
        <w:jc w:val="left"/>
        <w:rPr>
          <w:rFonts w:cstheme="minorHAnsi"/>
          <w:iCs/>
        </w:rPr>
      </w:pPr>
      <w:r w:rsidRPr="00F354DE">
        <w:rPr>
          <w:rFonts w:cstheme="minorHAnsi"/>
          <w:iCs/>
        </w:rPr>
        <w:t>Deleterious Systemic Effect</w:t>
      </w:r>
    </w:p>
    <w:p w:rsidR="00C40223" w:rsidRPr="00F354DE" w:rsidRDefault="00C40223" w:rsidP="00C40223">
      <w:pPr>
        <w:pStyle w:val="ListParagraph"/>
        <w:numPr>
          <w:ilvl w:val="0"/>
          <w:numId w:val="2"/>
        </w:numPr>
        <w:spacing w:line="480" w:lineRule="auto"/>
        <w:jc w:val="left"/>
        <w:rPr>
          <w:rFonts w:cstheme="minorHAnsi"/>
          <w:iCs/>
        </w:rPr>
      </w:pPr>
      <w:r w:rsidRPr="00F354DE">
        <w:rPr>
          <w:rFonts w:cstheme="minorHAnsi"/>
          <w:iCs/>
        </w:rPr>
        <w:t>Unexplained metabolic acidosis with anion gap &gt; 20</w:t>
      </w:r>
    </w:p>
    <w:p w:rsidR="00C40223" w:rsidRPr="00F354DE" w:rsidRDefault="00C40223" w:rsidP="00C40223">
      <w:pPr>
        <w:pStyle w:val="ListParagraph"/>
        <w:numPr>
          <w:ilvl w:val="0"/>
          <w:numId w:val="2"/>
        </w:numPr>
        <w:spacing w:line="480" w:lineRule="auto"/>
        <w:jc w:val="left"/>
        <w:rPr>
          <w:rFonts w:cstheme="minorHAnsi"/>
          <w:iCs/>
        </w:rPr>
      </w:pPr>
      <w:r w:rsidRPr="00F354DE">
        <w:rPr>
          <w:rFonts w:cstheme="minorHAnsi"/>
          <w:iCs/>
        </w:rPr>
        <w:t>Systemic vascular resistance &lt; 800 dyne • s • cm</w:t>
      </w:r>
      <w:r w:rsidRPr="00F354DE">
        <w:rPr>
          <w:rFonts w:cstheme="minorHAnsi"/>
          <w:iCs/>
          <w:vertAlign w:val="superscript"/>
        </w:rPr>
        <w:t>-5</w:t>
      </w:r>
    </w:p>
    <w:p w:rsidR="00C40223" w:rsidRPr="00F354DE" w:rsidRDefault="00C40223" w:rsidP="00C40223">
      <w:pPr>
        <w:pStyle w:val="ListParagraph"/>
        <w:numPr>
          <w:ilvl w:val="0"/>
          <w:numId w:val="2"/>
        </w:numPr>
        <w:spacing w:line="480" w:lineRule="auto"/>
        <w:jc w:val="left"/>
        <w:rPr>
          <w:rFonts w:cstheme="minorHAnsi"/>
          <w:iCs/>
        </w:rPr>
      </w:pPr>
      <w:r w:rsidRPr="00F354DE">
        <w:rPr>
          <w:rFonts w:cstheme="minorHAnsi"/>
          <w:iCs/>
        </w:rPr>
        <w:t>Unexplained hypotension with systolic BP &lt; 90 for 2 h or receiving vasopressor medications</w:t>
      </w:r>
    </w:p>
    <w:p w:rsidR="00C40223" w:rsidRDefault="00C40223" w:rsidP="00C40223">
      <w:pPr>
        <w:spacing w:line="480" w:lineRule="auto"/>
        <w:jc w:val="left"/>
        <w:rPr>
          <w:rFonts w:cstheme="minorHAnsi"/>
          <w:iCs/>
        </w:rPr>
      </w:pPr>
      <w:r w:rsidRPr="00F354DE">
        <w:rPr>
          <w:rFonts w:cstheme="minorHAnsi"/>
          <w:iCs/>
        </w:rPr>
        <w:t>Irreversible Sepsis Syndrome: severe sepsis syndrome without response to antibiotics and no possible surgical intervention.</w:t>
      </w:r>
    </w:p>
    <w:p w:rsidR="00AD104F" w:rsidRDefault="00AD104F">
      <w:pPr>
        <w:rPr>
          <w:rFonts w:cstheme="minorHAnsi"/>
          <w:b/>
        </w:rPr>
      </w:pPr>
      <w:r>
        <w:rPr>
          <w:rFonts w:cstheme="minorHAnsi"/>
          <w:b/>
        </w:rPr>
        <w:br w:type="page"/>
      </w:r>
    </w:p>
    <w:p w:rsidR="00C40223" w:rsidRDefault="00C40223" w:rsidP="00C40223">
      <w:pPr>
        <w:spacing w:line="480" w:lineRule="auto"/>
        <w:jc w:val="left"/>
        <w:rPr>
          <w:rFonts w:cstheme="minorHAnsi"/>
          <w:b/>
        </w:rPr>
      </w:pPr>
      <w:r>
        <w:rPr>
          <w:rFonts w:cstheme="minorHAnsi"/>
          <w:b/>
        </w:rPr>
        <w:lastRenderedPageBreak/>
        <w:t>Appendix 4: Examples</w:t>
      </w:r>
    </w:p>
    <w:p w:rsidR="00C40223" w:rsidRPr="00AD5BA7" w:rsidRDefault="00C40223" w:rsidP="00C40223">
      <w:pPr>
        <w:spacing w:line="480" w:lineRule="auto"/>
        <w:jc w:val="left"/>
        <w:rPr>
          <w:rFonts w:cstheme="minorHAnsi"/>
          <w:iCs/>
        </w:rPr>
      </w:pPr>
    </w:p>
    <w:p w:rsidR="00C40223" w:rsidRDefault="00C40223" w:rsidP="00C40223">
      <w:pPr>
        <w:spacing w:line="480" w:lineRule="auto"/>
        <w:jc w:val="left"/>
        <w:rPr>
          <w:i/>
        </w:rPr>
      </w:pPr>
      <w:r w:rsidRPr="0052358B">
        <w:rPr>
          <w:i/>
        </w:rPr>
        <w:t xml:space="preserve">Irreversible Organ System Dysfunction </w:t>
      </w:r>
      <w:r>
        <w:rPr>
          <w:i/>
        </w:rPr>
        <w:t>Assigned due to Withdrawal of Life Support</w:t>
      </w:r>
    </w:p>
    <w:p w:rsidR="00C40223" w:rsidRDefault="00C40223" w:rsidP="00C40223">
      <w:pPr>
        <w:spacing w:line="480" w:lineRule="auto"/>
        <w:jc w:val="left"/>
      </w:pPr>
      <w:r>
        <w:t>For example, suppose a patient was admitted with septic shock as well as AHRF. The patient was only on minimal vasopressor support, but required an FiO2 of 100% and a positive end-expiratory pressure of 15 mmHg to maintain a PaO2 of 45mmHg. Care was subsequently withdrawn due to respiratory failure. While the patient met criteria for irreversible sepsis at the time of death and did not strictly meet criteria for irreversible pulmonary organ system dysfunction, abstractors were encouraged to apply irreversible dysfunction as it most directly related to the reason for withdrawal of care.</w:t>
      </w:r>
    </w:p>
    <w:p w:rsidR="00C40223" w:rsidRDefault="00C40223" w:rsidP="00C40223">
      <w:pPr>
        <w:spacing w:line="480" w:lineRule="auto"/>
        <w:jc w:val="left"/>
      </w:pPr>
    </w:p>
    <w:p w:rsidR="00C40223" w:rsidRDefault="00C40223" w:rsidP="00C40223">
      <w:pPr>
        <w:spacing w:line="480" w:lineRule="auto"/>
        <w:jc w:val="left"/>
      </w:pPr>
      <w:r>
        <w:rPr>
          <w:i/>
        </w:rPr>
        <w:t>Cause of Death Related to Progression of Presenting AHRF Risk Factor</w:t>
      </w:r>
    </w:p>
    <w:p w:rsidR="00C40223" w:rsidRDefault="00C40223" w:rsidP="00C40223">
      <w:pPr>
        <w:spacing w:line="480" w:lineRule="auto"/>
        <w:jc w:val="left"/>
        <w:rPr>
          <w:rFonts w:cstheme="minorHAnsi"/>
        </w:rPr>
      </w:pPr>
      <w:r w:rsidRPr="00F354DE">
        <w:rPr>
          <w:rFonts w:cstheme="minorHAnsi"/>
        </w:rPr>
        <w:t xml:space="preserve">For example, if a patient presented with AHRF secondary to </w:t>
      </w:r>
      <w:r>
        <w:rPr>
          <w:rFonts w:cstheme="minorHAnsi"/>
        </w:rPr>
        <w:t>extra-pulmonary sepsis</w:t>
      </w:r>
      <w:r w:rsidRPr="00F354DE">
        <w:rPr>
          <w:rFonts w:cstheme="minorHAnsi"/>
        </w:rPr>
        <w:t xml:space="preserve"> and subsequently died of septic shock, then cause of death was attributed to progression of </w:t>
      </w:r>
      <w:r>
        <w:rPr>
          <w:rFonts w:cstheme="minorHAnsi"/>
        </w:rPr>
        <w:t>an</w:t>
      </w:r>
      <w:r w:rsidRPr="00F354DE">
        <w:rPr>
          <w:rFonts w:cstheme="minorHAnsi"/>
        </w:rPr>
        <w:t xml:space="preserve"> AHRF risk factor. </w:t>
      </w:r>
    </w:p>
    <w:p w:rsidR="00C40223" w:rsidRDefault="00C40223" w:rsidP="00C40223">
      <w:pPr>
        <w:spacing w:line="480" w:lineRule="auto"/>
        <w:jc w:val="left"/>
        <w:rPr>
          <w:i/>
        </w:rPr>
      </w:pPr>
    </w:p>
    <w:p w:rsidR="00C40223" w:rsidRPr="00FD0379" w:rsidRDefault="00C40223" w:rsidP="00C40223">
      <w:pPr>
        <w:spacing w:line="480" w:lineRule="auto"/>
        <w:jc w:val="left"/>
        <w:rPr>
          <w:i/>
        </w:rPr>
      </w:pPr>
      <w:r>
        <w:rPr>
          <w:i/>
        </w:rPr>
        <w:t>Cause of Death Related to Complications after AHRF Onset</w:t>
      </w:r>
    </w:p>
    <w:p w:rsidR="00C40223" w:rsidRPr="00AD5BA7" w:rsidRDefault="00C40223" w:rsidP="00C40223">
      <w:pPr>
        <w:spacing w:line="480" w:lineRule="auto"/>
        <w:jc w:val="left"/>
        <w:rPr>
          <w:rFonts w:cstheme="minorHAnsi"/>
        </w:rPr>
      </w:pPr>
      <w:r>
        <w:rPr>
          <w:rFonts w:cstheme="minorHAnsi"/>
        </w:rPr>
        <w:t>For example,</w:t>
      </w:r>
      <w:r w:rsidRPr="00F354DE">
        <w:rPr>
          <w:rFonts w:cstheme="minorHAnsi"/>
        </w:rPr>
        <w:t xml:space="preserve"> if a patient presented with AHRF secondary to a pneumonia, but later died of a massive gastrointestinal hemorrhage after a prolonged ICU course, </w:t>
      </w:r>
      <w:r>
        <w:rPr>
          <w:rFonts w:cstheme="minorHAnsi"/>
        </w:rPr>
        <w:t xml:space="preserve">then </w:t>
      </w:r>
      <w:r w:rsidRPr="00F354DE">
        <w:rPr>
          <w:rFonts w:cstheme="minorHAnsi"/>
        </w:rPr>
        <w:t>cause of death was attributed to complications</w:t>
      </w:r>
      <w:r>
        <w:rPr>
          <w:rFonts w:cstheme="minorHAnsi"/>
        </w:rPr>
        <w:t xml:space="preserve"> that arose</w:t>
      </w:r>
      <w:r w:rsidRPr="00F354DE">
        <w:rPr>
          <w:rFonts w:cstheme="minorHAnsi"/>
        </w:rPr>
        <w:t xml:space="preserve"> after AHRF onset.</w:t>
      </w:r>
      <w:r>
        <w:rPr>
          <w:rFonts w:cstheme="minorHAnsi"/>
          <w:b/>
          <w:iCs/>
        </w:rPr>
        <w:br w:type="page"/>
      </w:r>
    </w:p>
    <w:p w:rsidR="00C40223" w:rsidRPr="00211A38" w:rsidRDefault="00C40223" w:rsidP="00C40223">
      <w:pPr>
        <w:spacing w:line="480" w:lineRule="auto"/>
        <w:jc w:val="left"/>
        <w:rPr>
          <w:rFonts w:cstheme="minorHAnsi"/>
          <w:iCs/>
        </w:rPr>
        <w:sectPr w:rsidR="00C40223" w:rsidRPr="00211A38" w:rsidSect="00C40223">
          <w:footerReference w:type="default" r:id="rId12"/>
          <w:pgSz w:w="12240" w:h="15840"/>
          <w:pgMar w:top="1440" w:right="1440" w:bottom="1440" w:left="1440" w:header="720" w:footer="720" w:gutter="0"/>
          <w:cols w:space="720"/>
          <w:docGrid w:linePitch="360"/>
        </w:sectPr>
      </w:pPr>
    </w:p>
    <w:p w:rsidR="00C40223" w:rsidRPr="00F354DE" w:rsidRDefault="00C40223" w:rsidP="00C40223">
      <w:pPr>
        <w:spacing w:line="480" w:lineRule="auto"/>
        <w:jc w:val="left"/>
        <w:rPr>
          <w:rFonts w:cstheme="minorHAnsi"/>
        </w:rPr>
        <w:sectPr w:rsidR="00C40223" w:rsidRPr="00F354DE" w:rsidSect="00C40223">
          <w:type w:val="continuous"/>
          <w:pgSz w:w="15840" w:h="12240" w:orient="landscape"/>
          <w:pgMar w:top="1440" w:right="1440" w:bottom="1440" w:left="1440" w:header="720" w:footer="720" w:gutter="0"/>
          <w:cols w:space="720"/>
          <w:docGrid w:linePitch="360"/>
        </w:sectPr>
      </w:pPr>
      <w:r>
        <w:rPr>
          <w:rFonts w:cstheme="minorHAnsi"/>
          <w:b/>
        </w:rPr>
        <w:lastRenderedPageBreak/>
        <w:t>Appendix 5</w:t>
      </w:r>
      <w:r w:rsidRPr="00F354DE">
        <w:rPr>
          <w:rFonts w:cstheme="minorHAnsi"/>
          <w:b/>
        </w:rPr>
        <w:t>: Determining cause of death by organ system</w:t>
      </w:r>
      <w:r w:rsidRPr="00F354DE">
        <w:rPr>
          <w:rFonts w:cstheme="minorHAnsi"/>
          <w:noProof/>
        </w:rPr>
        <w:drawing>
          <wp:inline distT="0" distB="0" distL="0" distR="0" wp14:anchorId="1C73C008" wp14:editId="1F9AA509">
            <wp:extent cx="7886700" cy="4876800"/>
            <wp:effectExtent l="1905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bl>
      <w:tblPr>
        <w:tblpPr w:leftFromText="180" w:rightFromText="180" w:vertAnchor="text" w:horzAnchor="margin" w:tblpY="91"/>
        <w:tblW w:w="4670" w:type="dxa"/>
        <w:tblLook w:val="04A0" w:firstRow="1" w:lastRow="0" w:firstColumn="1" w:lastColumn="0" w:noHBand="0" w:noVBand="1"/>
      </w:tblPr>
      <w:tblGrid>
        <w:gridCol w:w="1828"/>
        <w:gridCol w:w="1492"/>
        <w:gridCol w:w="1350"/>
      </w:tblGrid>
      <w:tr w:rsidR="009F0B15" w:rsidRPr="00F354DE" w:rsidTr="009F0B15">
        <w:trPr>
          <w:trHeight w:val="278"/>
        </w:trPr>
        <w:tc>
          <w:tcPr>
            <w:tcW w:w="467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rsidR="009F0B15" w:rsidRPr="00F354DE" w:rsidRDefault="008D616C" w:rsidP="009F0B15">
            <w:pPr>
              <w:jc w:val="left"/>
              <w:rPr>
                <w:rFonts w:eastAsia="Times New Roman" w:cstheme="minorHAnsi"/>
                <w:b/>
                <w:bCs/>
                <w:color w:val="000000"/>
              </w:rPr>
            </w:pPr>
            <w:r>
              <w:rPr>
                <w:rFonts w:eastAsia="Times New Roman" w:cstheme="minorHAnsi"/>
                <w:b/>
                <w:bCs/>
                <w:color w:val="000000"/>
              </w:rPr>
              <w:lastRenderedPageBreak/>
              <w:t>eTable 1</w:t>
            </w:r>
            <w:r w:rsidR="009F0B15">
              <w:rPr>
                <w:rFonts w:eastAsia="Times New Roman" w:cstheme="minorHAnsi"/>
                <w:b/>
                <w:bCs/>
                <w:color w:val="000000"/>
              </w:rPr>
              <w:t xml:space="preserve">: Total </w:t>
            </w:r>
            <w:r w:rsidR="009F0B15" w:rsidRPr="00F354DE">
              <w:rPr>
                <w:rFonts w:eastAsia="Times New Roman" w:cstheme="minorHAnsi"/>
                <w:b/>
                <w:bCs/>
                <w:color w:val="000000"/>
              </w:rPr>
              <w:t>Organ System Dysfunction</w:t>
            </w:r>
          </w:p>
        </w:tc>
      </w:tr>
      <w:tr w:rsidR="009F0B15" w:rsidRPr="00F354DE" w:rsidTr="009F0B15">
        <w:trPr>
          <w:trHeight w:val="244"/>
        </w:trPr>
        <w:tc>
          <w:tcPr>
            <w:tcW w:w="1828"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b/>
                <w:bCs/>
                <w:color w:val="000000"/>
              </w:rPr>
            </w:pPr>
            <w:r w:rsidRPr="00F354DE">
              <w:rPr>
                <w:rFonts w:eastAsia="Times New Roman" w:cstheme="minorHAnsi"/>
                <w:b/>
                <w:bCs/>
                <w:color w:val="000000"/>
              </w:rPr>
              <w:t> </w:t>
            </w:r>
          </w:p>
        </w:tc>
        <w:tc>
          <w:tcPr>
            <w:tcW w:w="1492"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b/>
                <w:bCs/>
                <w:color w:val="000000"/>
              </w:rPr>
            </w:pPr>
            <w:r w:rsidRPr="00F354DE">
              <w:rPr>
                <w:rFonts w:eastAsia="Times New Roman" w:cstheme="minorHAnsi"/>
                <w:b/>
                <w:bCs/>
                <w:color w:val="000000"/>
              </w:rPr>
              <w:t>Severe</w:t>
            </w:r>
          </w:p>
        </w:tc>
        <w:tc>
          <w:tcPr>
            <w:tcW w:w="1350"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b/>
                <w:bCs/>
                <w:color w:val="000000"/>
              </w:rPr>
            </w:pPr>
            <w:r w:rsidRPr="00F354DE">
              <w:rPr>
                <w:rFonts w:eastAsia="Times New Roman" w:cstheme="minorHAnsi"/>
                <w:b/>
                <w:bCs/>
                <w:color w:val="000000"/>
              </w:rPr>
              <w:t>Irreversible</w:t>
            </w:r>
          </w:p>
        </w:tc>
      </w:tr>
      <w:tr w:rsidR="009F0B15" w:rsidRPr="00F354DE" w:rsidTr="009F0B15">
        <w:trPr>
          <w:trHeight w:val="278"/>
        </w:trPr>
        <w:tc>
          <w:tcPr>
            <w:tcW w:w="467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rsidR="009F0B15" w:rsidRPr="00F354DE" w:rsidRDefault="009F0B15" w:rsidP="009F0B15">
            <w:pPr>
              <w:jc w:val="left"/>
              <w:rPr>
                <w:rFonts w:eastAsia="Times New Roman" w:cstheme="minorHAnsi"/>
                <w:b/>
                <w:bCs/>
                <w:color w:val="000000"/>
              </w:rPr>
            </w:pPr>
            <w:r>
              <w:rPr>
                <w:rFonts w:eastAsia="Times New Roman" w:cstheme="minorHAnsi"/>
                <w:b/>
                <w:bCs/>
                <w:color w:val="000000"/>
              </w:rPr>
              <w:t>Organ system dysfunction – no. (%)</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Sepsis</w:t>
            </w:r>
          </w:p>
        </w:tc>
        <w:tc>
          <w:tcPr>
            <w:tcW w:w="1492"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273 (71%)</w:t>
            </w:r>
          </w:p>
        </w:tc>
        <w:tc>
          <w:tcPr>
            <w:tcW w:w="1350"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136 (35%)</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Neurologic</w:t>
            </w:r>
          </w:p>
        </w:tc>
        <w:tc>
          <w:tcPr>
            <w:tcW w:w="1492"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151 (39%)</w:t>
            </w:r>
          </w:p>
        </w:tc>
        <w:tc>
          <w:tcPr>
            <w:tcW w:w="1350"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83 (22%)</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Pulmonary</w:t>
            </w:r>
          </w:p>
        </w:tc>
        <w:tc>
          <w:tcPr>
            <w:tcW w:w="1492"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270 (70%)</w:t>
            </w:r>
          </w:p>
        </w:tc>
        <w:tc>
          <w:tcPr>
            <w:tcW w:w="1350"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19 (5%)</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Cardiac</w:t>
            </w:r>
          </w:p>
        </w:tc>
        <w:tc>
          <w:tcPr>
            <w:tcW w:w="1492"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112 (29%)</w:t>
            </w:r>
          </w:p>
        </w:tc>
        <w:tc>
          <w:tcPr>
            <w:tcW w:w="1350"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95 (25%)</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Hepatic</w:t>
            </w:r>
          </w:p>
        </w:tc>
        <w:tc>
          <w:tcPr>
            <w:tcW w:w="1492"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33 (9%)</w:t>
            </w:r>
          </w:p>
        </w:tc>
        <w:tc>
          <w:tcPr>
            <w:tcW w:w="1350"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23 (6%)</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Gastrointestinal</w:t>
            </w:r>
          </w:p>
        </w:tc>
        <w:tc>
          <w:tcPr>
            <w:tcW w:w="1492"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19 (5%)</w:t>
            </w:r>
          </w:p>
        </w:tc>
        <w:tc>
          <w:tcPr>
            <w:tcW w:w="1350"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18 (5%)</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Hemorrhage</w:t>
            </w:r>
          </w:p>
        </w:tc>
        <w:tc>
          <w:tcPr>
            <w:tcW w:w="1492"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54 (14%)</w:t>
            </w:r>
          </w:p>
        </w:tc>
        <w:tc>
          <w:tcPr>
            <w:tcW w:w="1350" w:type="dxa"/>
            <w:tcBorders>
              <w:top w:val="nil"/>
              <w:left w:val="nil"/>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33 (9%)</w:t>
            </w:r>
          </w:p>
        </w:tc>
      </w:tr>
      <w:tr w:rsidR="009F0B15" w:rsidRPr="00F354DE" w:rsidTr="009F0B15">
        <w:trPr>
          <w:trHeight w:val="278"/>
        </w:trPr>
        <w:tc>
          <w:tcPr>
            <w:tcW w:w="1828"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Hematologic</w:t>
            </w:r>
          </w:p>
        </w:tc>
        <w:tc>
          <w:tcPr>
            <w:tcW w:w="1492"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120 (31%)</w:t>
            </w:r>
          </w:p>
        </w:tc>
        <w:tc>
          <w:tcPr>
            <w:tcW w:w="1350" w:type="dxa"/>
            <w:tcBorders>
              <w:top w:val="nil"/>
              <w:left w:val="nil"/>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14 (4%)</w:t>
            </w:r>
          </w:p>
        </w:tc>
      </w:tr>
      <w:tr w:rsidR="009F0B15" w:rsidRPr="00F354DE" w:rsidTr="009F0B15">
        <w:trPr>
          <w:trHeight w:val="278"/>
        </w:trPr>
        <w:tc>
          <w:tcPr>
            <w:tcW w:w="182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Renal</w:t>
            </w:r>
          </w:p>
        </w:tc>
        <w:tc>
          <w:tcPr>
            <w:tcW w:w="1492" w:type="dxa"/>
            <w:tcBorders>
              <w:top w:val="single" w:sz="8" w:space="0" w:color="auto"/>
              <w:left w:val="nil"/>
              <w:bottom w:val="single" w:sz="4"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122 (32%)</w:t>
            </w:r>
          </w:p>
        </w:tc>
        <w:tc>
          <w:tcPr>
            <w:tcW w:w="1350" w:type="dxa"/>
            <w:tcBorders>
              <w:top w:val="single" w:sz="8" w:space="0" w:color="auto"/>
              <w:left w:val="nil"/>
              <w:bottom w:val="single" w:sz="4"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10 (3%)</w:t>
            </w:r>
          </w:p>
        </w:tc>
      </w:tr>
      <w:tr w:rsidR="009F0B15" w:rsidRPr="00F354DE" w:rsidTr="009F0B15">
        <w:trPr>
          <w:trHeight w:val="278"/>
        </w:trPr>
        <w:tc>
          <w:tcPr>
            <w:tcW w:w="1828"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rsidR="009F0B15" w:rsidRPr="00F354DE" w:rsidRDefault="009F0B15" w:rsidP="009F0B15">
            <w:pPr>
              <w:jc w:val="left"/>
              <w:rPr>
                <w:rFonts w:eastAsia="Times New Roman" w:cstheme="minorHAnsi"/>
                <w:b/>
                <w:color w:val="000000"/>
              </w:rPr>
            </w:pPr>
            <w:r w:rsidRPr="00F354DE">
              <w:rPr>
                <w:rFonts w:eastAsia="Times New Roman" w:cstheme="minorHAnsi"/>
                <w:b/>
                <w:color w:val="000000"/>
              </w:rPr>
              <w:t>Total</w:t>
            </w:r>
            <w:r>
              <w:rPr>
                <w:rFonts w:eastAsia="Times New Roman" w:cstheme="minorHAnsi"/>
                <w:b/>
                <w:color w:val="000000"/>
              </w:rPr>
              <w:t xml:space="preserve"> – no.</w:t>
            </w:r>
          </w:p>
        </w:tc>
        <w:tc>
          <w:tcPr>
            <w:tcW w:w="1492" w:type="dxa"/>
            <w:tcBorders>
              <w:top w:val="single" w:sz="4" w:space="0" w:color="auto"/>
              <w:left w:val="nil"/>
              <w:bottom w:val="single" w:sz="4" w:space="0" w:color="auto"/>
              <w:right w:val="single" w:sz="8" w:space="0" w:color="auto"/>
            </w:tcBorders>
            <w:shd w:val="clear" w:color="auto" w:fill="D9D9D9" w:themeFill="background1" w:themeFillShade="D9"/>
            <w:vAlign w:val="center"/>
          </w:tcPr>
          <w:p w:rsidR="009F0B15" w:rsidRPr="00F354DE" w:rsidRDefault="009F0B15" w:rsidP="009F0B15">
            <w:pPr>
              <w:jc w:val="left"/>
              <w:rPr>
                <w:rFonts w:eastAsia="Times New Roman" w:cstheme="minorHAnsi"/>
                <w:b/>
                <w:color w:val="000000"/>
              </w:rPr>
            </w:pPr>
            <w:r w:rsidRPr="00F354DE">
              <w:rPr>
                <w:rFonts w:eastAsia="Times New Roman" w:cstheme="minorHAnsi"/>
                <w:b/>
                <w:color w:val="000000"/>
              </w:rPr>
              <w:t>1,154</w:t>
            </w:r>
          </w:p>
        </w:tc>
        <w:tc>
          <w:tcPr>
            <w:tcW w:w="1350" w:type="dxa"/>
            <w:tcBorders>
              <w:top w:val="single" w:sz="4" w:space="0" w:color="auto"/>
              <w:left w:val="nil"/>
              <w:bottom w:val="single" w:sz="4" w:space="0" w:color="auto"/>
              <w:right w:val="single" w:sz="8" w:space="0" w:color="auto"/>
            </w:tcBorders>
            <w:shd w:val="clear" w:color="auto" w:fill="D9D9D9" w:themeFill="background1" w:themeFillShade="D9"/>
            <w:vAlign w:val="center"/>
          </w:tcPr>
          <w:p w:rsidR="009F0B15" w:rsidRPr="00F354DE" w:rsidRDefault="009F0B15" w:rsidP="009F0B15">
            <w:pPr>
              <w:jc w:val="left"/>
              <w:rPr>
                <w:rFonts w:eastAsia="Times New Roman" w:cstheme="minorHAnsi"/>
                <w:b/>
                <w:color w:val="000000"/>
              </w:rPr>
            </w:pPr>
            <w:r w:rsidRPr="00F354DE">
              <w:rPr>
                <w:rFonts w:eastAsia="Times New Roman" w:cstheme="minorHAnsi"/>
                <w:b/>
                <w:color w:val="000000"/>
              </w:rPr>
              <w:t>431</w:t>
            </w:r>
          </w:p>
        </w:tc>
      </w:tr>
    </w:tbl>
    <w:p w:rsidR="00CF618D" w:rsidRDefault="00CF618D" w:rsidP="00C40223">
      <w:pPr>
        <w:jc w:val="left"/>
        <w:rPr>
          <w:rFonts w:cstheme="minorHAnsi"/>
        </w:rPr>
      </w:pPr>
    </w:p>
    <w:tbl>
      <w:tblPr>
        <w:tblpPr w:leftFromText="180" w:rightFromText="180" w:vertAnchor="text" w:horzAnchor="margin" w:tblpY="4518"/>
        <w:tblW w:w="8094" w:type="dxa"/>
        <w:tblLook w:val="04A0" w:firstRow="1" w:lastRow="0" w:firstColumn="1" w:lastColumn="0" w:noHBand="0" w:noVBand="1"/>
      </w:tblPr>
      <w:tblGrid>
        <w:gridCol w:w="1805"/>
        <w:gridCol w:w="1122"/>
        <w:gridCol w:w="1122"/>
        <w:gridCol w:w="1122"/>
        <w:gridCol w:w="1582"/>
        <w:gridCol w:w="1341"/>
      </w:tblGrid>
      <w:tr w:rsidR="009F0B15" w:rsidRPr="00F354DE" w:rsidTr="009F0B15">
        <w:trPr>
          <w:trHeight w:val="278"/>
        </w:trPr>
        <w:tc>
          <w:tcPr>
            <w:tcW w:w="8094" w:type="dxa"/>
            <w:gridSpan w:val="6"/>
            <w:tcBorders>
              <w:top w:val="single" w:sz="8" w:space="0" w:color="auto"/>
              <w:left w:val="single" w:sz="8" w:space="0" w:color="auto"/>
              <w:bottom w:val="single" w:sz="8" w:space="0" w:color="auto"/>
              <w:right w:val="single" w:sz="8" w:space="0" w:color="000000"/>
            </w:tcBorders>
            <w:shd w:val="clear" w:color="000000" w:fill="D9D9D9"/>
            <w:vAlign w:val="center"/>
            <w:hideMark/>
          </w:tcPr>
          <w:p w:rsidR="009F0B15" w:rsidRDefault="008D616C" w:rsidP="009F0B15">
            <w:pPr>
              <w:jc w:val="left"/>
              <w:rPr>
                <w:rFonts w:eastAsia="Times New Roman" w:cstheme="minorHAnsi"/>
                <w:b/>
                <w:bCs/>
                <w:color w:val="000000"/>
              </w:rPr>
            </w:pPr>
            <w:r>
              <w:rPr>
                <w:rFonts w:eastAsia="Times New Roman" w:cstheme="minorHAnsi"/>
                <w:b/>
                <w:bCs/>
                <w:color w:val="000000"/>
              </w:rPr>
              <w:t>eTable 2</w:t>
            </w:r>
            <w:r w:rsidR="009F0B15">
              <w:rPr>
                <w:rFonts w:eastAsia="Times New Roman" w:cstheme="minorHAnsi"/>
                <w:b/>
                <w:bCs/>
                <w:color w:val="000000"/>
              </w:rPr>
              <w:t>: Cause of Death by ICU Setting</w:t>
            </w:r>
          </w:p>
        </w:tc>
      </w:tr>
      <w:tr w:rsidR="009F0B15" w:rsidRPr="00F354DE" w:rsidTr="009F0B15">
        <w:trPr>
          <w:trHeight w:val="244"/>
        </w:trPr>
        <w:tc>
          <w:tcPr>
            <w:tcW w:w="1805"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b/>
                <w:bCs/>
                <w:color w:val="000000"/>
              </w:rPr>
            </w:pPr>
            <w:r w:rsidRPr="00F354DE">
              <w:rPr>
                <w:rFonts w:eastAsia="Times New Roman" w:cstheme="minorHAnsi"/>
                <w:b/>
                <w:bCs/>
                <w:color w:val="000000"/>
              </w:rPr>
              <w:t> </w:t>
            </w:r>
          </w:p>
        </w:tc>
        <w:tc>
          <w:tcPr>
            <w:tcW w:w="1122" w:type="dxa"/>
            <w:tcBorders>
              <w:top w:val="nil"/>
              <w:left w:val="nil"/>
              <w:bottom w:val="single" w:sz="8" w:space="0" w:color="auto"/>
              <w:right w:val="single" w:sz="8" w:space="0" w:color="auto"/>
            </w:tcBorders>
            <w:shd w:val="clear" w:color="auto" w:fill="auto"/>
            <w:vAlign w:val="center"/>
            <w:hideMark/>
          </w:tcPr>
          <w:p w:rsidR="009F0B15" w:rsidRDefault="009F0B15" w:rsidP="009F0B15">
            <w:pPr>
              <w:jc w:val="left"/>
              <w:rPr>
                <w:rFonts w:eastAsia="Times New Roman" w:cstheme="minorHAnsi"/>
                <w:b/>
                <w:bCs/>
                <w:color w:val="000000"/>
              </w:rPr>
            </w:pPr>
            <w:r>
              <w:rPr>
                <w:rFonts w:eastAsia="Times New Roman" w:cstheme="minorHAnsi"/>
                <w:b/>
                <w:bCs/>
                <w:color w:val="000000"/>
              </w:rPr>
              <w:t>Medical</w:t>
            </w:r>
          </w:p>
          <w:p w:rsidR="009F0B15" w:rsidRPr="00F354DE" w:rsidRDefault="009F0B15" w:rsidP="009F0B15">
            <w:pPr>
              <w:jc w:val="left"/>
              <w:rPr>
                <w:rFonts w:eastAsia="Times New Roman" w:cstheme="minorHAnsi"/>
                <w:b/>
                <w:bCs/>
                <w:color w:val="000000"/>
              </w:rPr>
            </w:pPr>
            <w:r>
              <w:rPr>
                <w:rFonts w:eastAsia="Times New Roman" w:cstheme="minorHAnsi"/>
                <w:b/>
                <w:bCs/>
                <w:color w:val="000000"/>
              </w:rPr>
              <w:t>N=225</w:t>
            </w:r>
          </w:p>
        </w:tc>
        <w:tc>
          <w:tcPr>
            <w:tcW w:w="1122" w:type="dxa"/>
            <w:tcBorders>
              <w:top w:val="nil"/>
              <w:left w:val="nil"/>
              <w:bottom w:val="single" w:sz="8" w:space="0" w:color="auto"/>
              <w:right w:val="single" w:sz="8" w:space="0" w:color="auto"/>
            </w:tcBorders>
            <w:shd w:val="clear" w:color="auto" w:fill="auto"/>
            <w:vAlign w:val="center"/>
            <w:hideMark/>
          </w:tcPr>
          <w:p w:rsidR="009F0B15" w:rsidRDefault="009F0B15" w:rsidP="009F0B15">
            <w:pPr>
              <w:jc w:val="left"/>
              <w:rPr>
                <w:rFonts w:eastAsia="Times New Roman" w:cstheme="minorHAnsi"/>
                <w:b/>
                <w:bCs/>
                <w:color w:val="000000"/>
              </w:rPr>
            </w:pPr>
            <w:r>
              <w:rPr>
                <w:rFonts w:eastAsia="Times New Roman" w:cstheme="minorHAnsi"/>
                <w:b/>
                <w:bCs/>
                <w:color w:val="000000"/>
              </w:rPr>
              <w:t>Cardiac</w:t>
            </w:r>
          </w:p>
          <w:p w:rsidR="009F0B15" w:rsidRPr="00F354DE" w:rsidRDefault="009F0B15" w:rsidP="009F0B15">
            <w:pPr>
              <w:jc w:val="left"/>
              <w:rPr>
                <w:rFonts w:eastAsia="Times New Roman" w:cstheme="minorHAnsi"/>
                <w:b/>
                <w:bCs/>
                <w:color w:val="000000"/>
              </w:rPr>
            </w:pPr>
            <w:r>
              <w:rPr>
                <w:rFonts w:eastAsia="Times New Roman" w:cstheme="minorHAnsi"/>
                <w:b/>
                <w:bCs/>
                <w:color w:val="000000"/>
              </w:rPr>
              <w:t>N=47</w:t>
            </w:r>
          </w:p>
        </w:tc>
        <w:tc>
          <w:tcPr>
            <w:tcW w:w="1122" w:type="dxa"/>
            <w:tcBorders>
              <w:top w:val="nil"/>
              <w:left w:val="nil"/>
              <w:bottom w:val="single" w:sz="8" w:space="0" w:color="auto"/>
              <w:right w:val="single" w:sz="8" w:space="0" w:color="auto"/>
            </w:tcBorders>
          </w:tcPr>
          <w:p w:rsidR="009F0B15" w:rsidRDefault="009F0B15" w:rsidP="009F0B15">
            <w:pPr>
              <w:jc w:val="left"/>
              <w:rPr>
                <w:rFonts w:eastAsia="Times New Roman" w:cstheme="minorHAnsi"/>
                <w:b/>
                <w:bCs/>
                <w:color w:val="000000"/>
              </w:rPr>
            </w:pPr>
            <w:r>
              <w:rPr>
                <w:rFonts w:eastAsia="Times New Roman" w:cstheme="minorHAnsi"/>
                <w:b/>
                <w:bCs/>
                <w:color w:val="000000"/>
              </w:rPr>
              <w:t>Surgical</w:t>
            </w:r>
          </w:p>
          <w:p w:rsidR="009F0B15" w:rsidRDefault="009F0B15" w:rsidP="009F0B15">
            <w:pPr>
              <w:jc w:val="left"/>
              <w:rPr>
                <w:rFonts w:eastAsia="Times New Roman" w:cstheme="minorHAnsi"/>
                <w:b/>
                <w:bCs/>
                <w:color w:val="000000"/>
              </w:rPr>
            </w:pPr>
            <w:r>
              <w:rPr>
                <w:rFonts w:eastAsia="Times New Roman" w:cstheme="minorHAnsi"/>
                <w:b/>
                <w:bCs/>
                <w:color w:val="000000"/>
              </w:rPr>
              <w:t>N=69</w:t>
            </w:r>
          </w:p>
        </w:tc>
        <w:tc>
          <w:tcPr>
            <w:tcW w:w="1582" w:type="dxa"/>
            <w:tcBorders>
              <w:top w:val="nil"/>
              <w:left w:val="nil"/>
              <w:bottom w:val="single" w:sz="8" w:space="0" w:color="auto"/>
              <w:right w:val="single" w:sz="8" w:space="0" w:color="auto"/>
            </w:tcBorders>
          </w:tcPr>
          <w:p w:rsidR="009F0B15" w:rsidRDefault="009F0B15" w:rsidP="009F0B15">
            <w:pPr>
              <w:jc w:val="left"/>
              <w:rPr>
                <w:rFonts w:eastAsia="Times New Roman" w:cstheme="minorHAnsi"/>
                <w:b/>
                <w:bCs/>
                <w:color w:val="000000"/>
              </w:rPr>
            </w:pPr>
            <w:r>
              <w:rPr>
                <w:rFonts w:eastAsia="Times New Roman" w:cstheme="minorHAnsi"/>
                <w:b/>
                <w:bCs/>
                <w:color w:val="000000"/>
              </w:rPr>
              <w:t>Trauma/Burn</w:t>
            </w:r>
          </w:p>
          <w:p w:rsidR="009F0B15" w:rsidRDefault="009F0B15" w:rsidP="009F0B15">
            <w:pPr>
              <w:jc w:val="left"/>
              <w:rPr>
                <w:rFonts w:eastAsia="Times New Roman" w:cstheme="minorHAnsi"/>
                <w:b/>
                <w:bCs/>
                <w:color w:val="000000"/>
              </w:rPr>
            </w:pPr>
            <w:r>
              <w:rPr>
                <w:rFonts w:eastAsia="Times New Roman" w:cstheme="minorHAnsi"/>
                <w:b/>
                <w:bCs/>
                <w:color w:val="000000"/>
              </w:rPr>
              <w:t>N=39</w:t>
            </w:r>
          </w:p>
        </w:tc>
        <w:tc>
          <w:tcPr>
            <w:tcW w:w="1341" w:type="dxa"/>
            <w:tcBorders>
              <w:top w:val="nil"/>
              <w:left w:val="nil"/>
              <w:bottom w:val="single" w:sz="8" w:space="0" w:color="auto"/>
              <w:right w:val="single" w:sz="8" w:space="0" w:color="auto"/>
            </w:tcBorders>
          </w:tcPr>
          <w:p w:rsidR="009F0B15" w:rsidRDefault="009F0B15" w:rsidP="009F0B15">
            <w:pPr>
              <w:jc w:val="left"/>
              <w:rPr>
                <w:rFonts w:eastAsia="Times New Roman" w:cstheme="minorHAnsi"/>
                <w:b/>
                <w:bCs/>
                <w:color w:val="000000"/>
              </w:rPr>
            </w:pPr>
            <w:r>
              <w:rPr>
                <w:rFonts w:eastAsia="Times New Roman" w:cstheme="minorHAnsi"/>
                <w:b/>
                <w:bCs/>
                <w:color w:val="000000"/>
              </w:rPr>
              <w:t>Neurologic</w:t>
            </w:r>
          </w:p>
          <w:p w:rsidR="009F0B15" w:rsidRDefault="009F0B15" w:rsidP="009F0B15">
            <w:pPr>
              <w:jc w:val="left"/>
              <w:rPr>
                <w:rFonts w:eastAsia="Times New Roman" w:cstheme="minorHAnsi"/>
                <w:b/>
                <w:bCs/>
                <w:color w:val="000000"/>
              </w:rPr>
            </w:pPr>
            <w:r>
              <w:rPr>
                <w:rFonts w:eastAsia="Times New Roman" w:cstheme="minorHAnsi"/>
                <w:b/>
                <w:bCs/>
                <w:color w:val="000000"/>
              </w:rPr>
              <w:t>N=5</w:t>
            </w:r>
          </w:p>
        </w:tc>
      </w:tr>
      <w:tr w:rsidR="009F0B15" w:rsidRPr="00F354DE" w:rsidTr="009F0B15">
        <w:trPr>
          <w:trHeight w:val="278"/>
        </w:trPr>
        <w:tc>
          <w:tcPr>
            <w:tcW w:w="8094" w:type="dxa"/>
            <w:gridSpan w:val="6"/>
            <w:tcBorders>
              <w:top w:val="single" w:sz="8" w:space="0" w:color="auto"/>
              <w:left w:val="single" w:sz="8" w:space="0" w:color="auto"/>
              <w:bottom w:val="single" w:sz="8" w:space="0" w:color="auto"/>
              <w:right w:val="single" w:sz="8" w:space="0" w:color="000000"/>
            </w:tcBorders>
            <w:shd w:val="clear" w:color="000000" w:fill="D9D9D9"/>
            <w:vAlign w:val="center"/>
            <w:hideMark/>
          </w:tcPr>
          <w:p w:rsidR="009F0B15" w:rsidRDefault="009F0B15" w:rsidP="009F0B15">
            <w:pPr>
              <w:jc w:val="left"/>
              <w:rPr>
                <w:rFonts w:eastAsia="Times New Roman" w:cstheme="minorHAnsi"/>
                <w:b/>
                <w:bCs/>
                <w:color w:val="000000"/>
              </w:rPr>
            </w:pPr>
            <w:r>
              <w:rPr>
                <w:rFonts w:eastAsia="Times New Roman" w:cstheme="minorHAnsi"/>
                <w:b/>
                <w:bCs/>
                <w:color w:val="000000"/>
              </w:rPr>
              <w:t>Cause of death – no. (%)</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Sepsis</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72 (32.0)</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6 (12.8)</w:t>
            </w:r>
          </w:p>
        </w:tc>
        <w:tc>
          <w:tcPr>
            <w:tcW w:w="112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19 (27.5)</w:t>
            </w:r>
          </w:p>
        </w:tc>
        <w:tc>
          <w:tcPr>
            <w:tcW w:w="158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4 (10.3)</w:t>
            </w:r>
          </w:p>
        </w:tc>
        <w:tc>
          <w:tcPr>
            <w:tcW w:w="1341"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Neurologic</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35 (15.6)</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6 (12.8)</w:t>
            </w:r>
          </w:p>
        </w:tc>
        <w:tc>
          <w:tcPr>
            <w:tcW w:w="112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6 (8.7)</w:t>
            </w:r>
          </w:p>
        </w:tc>
        <w:tc>
          <w:tcPr>
            <w:tcW w:w="158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25 (64.1)</w:t>
            </w:r>
          </w:p>
        </w:tc>
        <w:tc>
          <w:tcPr>
            <w:tcW w:w="1341"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3 (60)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Pulmonary</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54 (24.0)</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5 (10.6)</w:t>
            </w:r>
          </w:p>
        </w:tc>
        <w:tc>
          <w:tcPr>
            <w:tcW w:w="112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17 (24.6)</w:t>
            </w:r>
          </w:p>
        </w:tc>
        <w:tc>
          <w:tcPr>
            <w:tcW w:w="158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6 (15.4)</w:t>
            </w:r>
          </w:p>
        </w:tc>
        <w:tc>
          <w:tcPr>
            <w:tcW w:w="1341"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1 (20)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Cardiac</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24 (10.7)</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27 (57.4)</w:t>
            </w:r>
          </w:p>
        </w:tc>
        <w:tc>
          <w:tcPr>
            <w:tcW w:w="112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9 (13.0)</w:t>
            </w:r>
          </w:p>
        </w:tc>
        <w:tc>
          <w:tcPr>
            <w:tcW w:w="158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1 (2.6)</w:t>
            </w:r>
          </w:p>
        </w:tc>
        <w:tc>
          <w:tcPr>
            <w:tcW w:w="1341"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1 (20)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Hepatic</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19 (8.4)</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c>
          <w:tcPr>
            <w:tcW w:w="112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5 (7.2)</w:t>
            </w:r>
          </w:p>
        </w:tc>
        <w:tc>
          <w:tcPr>
            <w:tcW w:w="158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c>
          <w:tcPr>
            <w:tcW w:w="1341"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Gastrointestinal</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5 (2.2)</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1 (2.1)</w:t>
            </w:r>
          </w:p>
        </w:tc>
        <w:tc>
          <w:tcPr>
            <w:tcW w:w="112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7 (10.1)</w:t>
            </w:r>
          </w:p>
        </w:tc>
        <w:tc>
          <w:tcPr>
            <w:tcW w:w="158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2 (5.1)</w:t>
            </w:r>
          </w:p>
        </w:tc>
        <w:tc>
          <w:tcPr>
            <w:tcW w:w="1341"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Hemorrhage</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8 (3.6)</w:t>
            </w:r>
          </w:p>
        </w:tc>
        <w:tc>
          <w:tcPr>
            <w:tcW w:w="1122" w:type="dxa"/>
            <w:tcBorders>
              <w:top w:val="nil"/>
              <w:left w:val="nil"/>
              <w:bottom w:val="single" w:sz="8"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1 (2.1)</w:t>
            </w:r>
          </w:p>
        </w:tc>
        <w:tc>
          <w:tcPr>
            <w:tcW w:w="112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4 (5.8)</w:t>
            </w:r>
          </w:p>
        </w:tc>
        <w:tc>
          <w:tcPr>
            <w:tcW w:w="1582"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c>
          <w:tcPr>
            <w:tcW w:w="1341" w:type="dxa"/>
            <w:tcBorders>
              <w:top w:val="nil"/>
              <w:left w:val="nil"/>
              <w:bottom w:val="single" w:sz="8"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r w:rsidR="009F0B15" w:rsidRPr="00F354DE" w:rsidTr="009F0B15">
        <w:trPr>
          <w:trHeight w:val="278"/>
        </w:trPr>
        <w:tc>
          <w:tcPr>
            <w:tcW w:w="1805" w:type="dxa"/>
            <w:tcBorders>
              <w:top w:val="nil"/>
              <w:left w:val="single" w:sz="8" w:space="0" w:color="auto"/>
              <w:bottom w:val="single" w:sz="8" w:space="0" w:color="auto"/>
              <w:right w:val="single" w:sz="8" w:space="0" w:color="auto"/>
            </w:tcBorders>
            <w:shd w:val="clear" w:color="000000" w:fill="F2F2F2"/>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Hematologic</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2 (0.9)</w:t>
            </w:r>
          </w:p>
        </w:tc>
        <w:tc>
          <w:tcPr>
            <w:tcW w:w="1122" w:type="dxa"/>
            <w:tcBorders>
              <w:top w:val="nil"/>
              <w:left w:val="nil"/>
              <w:bottom w:val="single" w:sz="8" w:space="0" w:color="auto"/>
              <w:right w:val="single" w:sz="8" w:space="0" w:color="auto"/>
            </w:tcBorders>
            <w:shd w:val="clear" w:color="000000" w:fill="F2F2F2"/>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c>
          <w:tcPr>
            <w:tcW w:w="112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1 (1.4)</w:t>
            </w:r>
          </w:p>
        </w:tc>
        <w:tc>
          <w:tcPr>
            <w:tcW w:w="1582"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c>
          <w:tcPr>
            <w:tcW w:w="1341" w:type="dxa"/>
            <w:tcBorders>
              <w:top w:val="nil"/>
              <w:left w:val="nil"/>
              <w:bottom w:val="single" w:sz="8" w:space="0" w:color="auto"/>
              <w:right w:val="single" w:sz="8" w:space="0" w:color="auto"/>
            </w:tcBorders>
            <w:shd w:val="clear" w:color="000000" w:fill="F2F2F2"/>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r w:rsidR="009F0B15" w:rsidRPr="00F354DE" w:rsidTr="009F0B15">
        <w:trPr>
          <w:trHeight w:val="278"/>
        </w:trPr>
        <w:tc>
          <w:tcPr>
            <w:tcW w:w="1805"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9F0B15" w:rsidRPr="00F354DE" w:rsidRDefault="009F0B15" w:rsidP="009F0B15">
            <w:pPr>
              <w:jc w:val="left"/>
              <w:rPr>
                <w:rFonts w:eastAsia="Times New Roman" w:cstheme="minorHAnsi"/>
                <w:color w:val="000000"/>
              </w:rPr>
            </w:pPr>
            <w:r w:rsidRPr="00F354DE">
              <w:rPr>
                <w:rFonts w:eastAsia="Times New Roman" w:cstheme="minorHAnsi"/>
                <w:color w:val="000000"/>
              </w:rPr>
              <w:t>Renal</w:t>
            </w:r>
          </w:p>
        </w:tc>
        <w:tc>
          <w:tcPr>
            <w:tcW w:w="1122" w:type="dxa"/>
            <w:tcBorders>
              <w:top w:val="single" w:sz="8" w:space="0" w:color="auto"/>
              <w:left w:val="nil"/>
              <w:bottom w:val="single" w:sz="4"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6 (2.7)</w:t>
            </w:r>
          </w:p>
        </w:tc>
        <w:tc>
          <w:tcPr>
            <w:tcW w:w="1122" w:type="dxa"/>
            <w:tcBorders>
              <w:top w:val="single" w:sz="8" w:space="0" w:color="auto"/>
              <w:left w:val="nil"/>
              <w:bottom w:val="single" w:sz="4" w:space="0" w:color="auto"/>
              <w:right w:val="single" w:sz="8" w:space="0" w:color="auto"/>
            </w:tcBorders>
            <w:shd w:val="clear" w:color="auto" w:fill="auto"/>
            <w:vAlign w:val="center"/>
          </w:tcPr>
          <w:p w:rsidR="009F0B15" w:rsidRPr="00F354DE" w:rsidRDefault="009F0B15" w:rsidP="009F0B15">
            <w:pPr>
              <w:jc w:val="left"/>
              <w:rPr>
                <w:rFonts w:eastAsia="Times New Roman" w:cstheme="minorHAnsi"/>
                <w:color w:val="000000"/>
              </w:rPr>
            </w:pPr>
            <w:r>
              <w:rPr>
                <w:rFonts w:eastAsia="Times New Roman" w:cstheme="minorHAnsi"/>
                <w:color w:val="000000"/>
              </w:rPr>
              <w:t>1 (2.1)</w:t>
            </w:r>
          </w:p>
        </w:tc>
        <w:tc>
          <w:tcPr>
            <w:tcW w:w="1122" w:type="dxa"/>
            <w:tcBorders>
              <w:top w:val="single" w:sz="8" w:space="0" w:color="auto"/>
              <w:left w:val="nil"/>
              <w:bottom w:val="single" w:sz="4"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1 (1.4)</w:t>
            </w:r>
          </w:p>
        </w:tc>
        <w:tc>
          <w:tcPr>
            <w:tcW w:w="1582" w:type="dxa"/>
            <w:tcBorders>
              <w:top w:val="single" w:sz="8" w:space="0" w:color="auto"/>
              <w:left w:val="nil"/>
              <w:bottom w:val="single" w:sz="4"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1 (2.6)</w:t>
            </w:r>
          </w:p>
        </w:tc>
        <w:tc>
          <w:tcPr>
            <w:tcW w:w="1341" w:type="dxa"/>
            <w:tcBorders>
              <w:top w:val="single" w:sz="8" w:space="0" w:color="auto"/>
              <w:left w:val="nil"/>
              <w:bottom w:val="single" w:sz="4" w:space="0" w:color="auto"/>
              <w:right w:val="single" w:sz="8" w:space="0" w:color="auto"/>
            </w:tcBorders>
          </w:tcPr>
          <w:p w:rsidR="009F0B15" w:rsidRPr="00F354DE" w:rsidRDefault="009F0B15" w:rsidP="009F0B15">
            <w:pPr>
              <w:jc w:val="left"/>
              <w:rPr>
                <w:rFonts w:eastAsia="Times New Roman" w:cstheme="minorHAnsi"/>
                <w:color w:val="000000"/>
              </w:rPr>
            </w:pPr>
            <w:r>
              <w:rPr>
                <w:rFonts w:eastAsia="Times New Roman" w:cstheme="minorHAnsi"/>
                <w:color w:val="000000"/>
              </w:rPr>
              <w:t>0 (0)</w:t>
            </w:r>
          </w:p>
        </w:tc>
      </w:tr>
    </w:tbl>
    <w:p w:rsidR="000F23A5" w:rsidRPr="00802280" w:rsidRDefault="000F23A5" w:rsidP="00802280">
      <w:pPr>
        <w:jc w:val="both"/>
        <w:rPr>
          <w:rFonts w:cstheme="minorHAnsi"/>
        </w:rPr>
      </w:pPr>
    </w:p>
    <w:sectPr w:rsidR="000F23A5" w:rsidRPr="00802280" w:rsidSect="00C4022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932" w:rsidRDefault="00E63932" w:rsidP="00CA2393">
      <w:r>
        <w:separator/>
      </w:r>
    </w:p>
  </w:endnote>
  <w:endnote w:type="continuationSeparator" w:id="0">
    <w:p w:rsidR="00E63932" w:rsidRDefault="00E63932" w:rsidP="00CA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836021"/>
      <w:docPartObj>
        <w:docPartGallery w:val="Page Numbers (Bottom of Page)"/>
        <w:docPartUnique/>
      </w:docPartObj>
    </w:sdtPr>
    <w:sdtEndPr>
      <w:rPr>
        <w:noProof/>
      </w:rPr>
    </w:sdtEndPr>
    <w:sdtContent>
      <w:p w:rsidR="00CA2393" w:rsidRDefault="00CA2393">
        <w:pPr>
          <w:pStyle w:val="Footer"/>
          <w:jc w:val="right"/>
        </w:pPr>
        <w:r>
          <w:fldChar w:fldCharType="begin"/>
        </w:r>
        <w:r>
          <w:instrText xml:space="preserve"> PAGE   \* MERGEFORMAT </w:instrText>
        </w:r>
        <w:r>
          <w:fldChar w:fldCharType="separate"/>
        </w:r>
        <w:r w:rsidR="005E4686">
          <w:rPr>
            <w:noProof/>
          </w:rPr>
          <w:t>1</w:t>
        </w:r>
        <w:r>
          <w:rPr>
            <w:noProof/>
          </w:rPr>
          <w:fldChar w:fldCharType="end"/>
        </w:r>
      </w:p>
    </w:sdtContent>
  </w:sdt>
  <w:p w:rsidR="00CA2393" w:rsidRDefault="00CA23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932" w:rsidRDefault="00E63932" w:rsidP="00CA2393">
      <w:r>
        <w:separator/>
      </w:r>
    </w:p>
  </w:footnote>
  <w:footnote w:type="continuationSeparator" w:id="0">
    <w:p w:rsidR="00E63932" w:rsidRDefault="00E63932" w:rsidP="00CA23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8655C"/>
    <w:multiLevelType w:val="hybridMultilevel"/>
    <w:tmpl w:val="BE347A1A"/>
    <w:lvl w:ilvl="0" w:tplc="E16EB8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6BCA7333"/>
    <w:multiLevelType w:val="hybridMultilevel"/>
    <w:tmpl w:val="82AC61B8"/>
    <w:lvl w:ilvl="0" w:tplc="8258E9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23"/>
    <w:rsid w:val="000273AF"/>
    <w:rsid w:val="000F23A5"/>
    <w:rsid w:val="00200D1A"/>
    <w:rsid w:val="0045086A"/>
    <w:rsid w:val="005E4686"/>
    <w:rsid w:val="005E578D"/>
    <w:rsid w:val="00802280"/>
    <w:rsid w:val="00845616"/>
    <w:rsid w:val="008D616C"/>
    <w:rsid w:val="009524BF"/>
    <w:rsid w:val="009F0B15"/>
    <w:rsid w:val="00AD104F"/>
    <w:rsid w:val="00AE4E8C"/>
    <w:rsid w:val="00B50A48"/>
    <w:rsid w:val="00B96193"/>
    <w:rsid w:val="00BA6943"/>
    <w:rsid w:val="00C40223"/>
    <w:rsid w:val="00CA2393"/>
    <w:rsid w:val="00CF618D"/>
    <w:rsid w:val="00E63932"/>
    <w:rsid w:val="00F9203E"/>
    <w:rsid w:val="00FB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C782A"/>
  <w15:chartTrackingRefBased/>
  <w15:docId w15:val="{8BD1B991-8A5D-427B-8E19-C5D7EB5B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2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223"/>
    <w:pPr>
      <w:ind w:left="720"/>
      <w:contextualSpacing/>
    </w:pPr>
  </w:style>
  <w:style w:type="character" w:styleId="LineNumber">
    <w:name w:val="line number"/>
    <w:basedOn w:val="DefaultParagraphFont"/>
    <w:uiPriority w:val="99"/>
    <w:semiHidden/>
    <w:unhideWhenUsed/>
    <w:rsid w:val="00C40223"/>
  </w:style>
  <w:style w:type="paragraph" w:styleId="Header">
    <w:name w:val="header"/>
    <w:basedOn w:val="Normal"/>
    <w:link w:val="HeaderChar"/>
    <w:uiPriority w:val="99"/>
    <w:unhideWhenUsed/>
    <w:rsid w:val="00CA2393"/>
    <w:pPr>
      <w:tabs>
        <w:tab w:val="center" w:pos="4680"/>
        <w:tab w:val="right" w:pos="9360"/>
      </w:tabs>
    </w:pPr>
  </w:style>
  <w:style w:type="character" w:customStyle="1" w:styleId="HeaderChar">
    <w:name w:val="Header Char"/>
    <w:basedOn w:val="DefaultParagraphFont"/>
    <w:link w:val="Header"/>
    <w:uiPriority w:val="99"/>
    <w:rsid w:val="00CA2393"/>
  </w:style>
  <w:style w:type="paragraph" w:styleId="Footer">
    <w:name w:val="footer"/>
    <w:basedOn w:val="Normal"/>
    <w:link w:val="FooterChar"/>
    <w:uiPriority w:val="99"/>
    <w:unhideWhenUsed/>
    <w:rsid w:val="00CA2393"/>
    <w:pPr>
      <w:tabs>
        <w:tab w:val="center" w:pos="4680"/>
        <w:tab w:val="right" w:pos="9360"/>
      </w:tabs>
    </w:pPr>
  </w:style>
  <w:style w:type="character" w:customStyle="1" w:styleId="FooterChar">
    <w:name w:val="Footer Char"/>
    <w:basedOn w:val="DefaultParagraphFont"/>
    <w:link w:val="Footer"/>
    <w:uiPriority w:val="99"/>
    <w:rsid w:val="00CA2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QuickStyle" Target="diagrams/quickStyle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4A396E-B987-4CC0-A1D7-85AD4E2C9207}"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05A2932A-D343-4AB2-B37D-15C0EF5B65F1}">
      <dgm:prSet phldrT="[Text]"/>
      <dgm:spPr/>
      <dgm:t>
        <a:bodyPr/>
        <a:lstStyle/>
        <a:p>
          <a:r>
            <a:rPr lang="en-US"/>
            <a:t>Number of Organ Systems with </a:t>
          </a:r>
          <a:r>
            <a:rPr lang="en-US" i="1"/>
            <a:t>Irreversible</a:t>
          </a:r>
          <a:r>
            <a:rPr lang="en-US"/>
            <a:t> Dysfunction?</a:t>
          </a:r>
        </a:p>
      </dgm:t>
    </dgm:pt>
    <dgm:pt modelId="{70CAB1DA-7F73-4442-AE23-7A588BCEE068}" type="parTrans" cxnId="{DD0C7874-5611-46B2-917A-FBED799AA969}">
      <dgm:prSet/>
      <dgm:spPr/>
      <dgm:t>
        <a:bodyPr/>
        <a:lstStyle/>
        <a:p>
          <a:endParaRPr lang="en-US"/>
        </a:p>
      </dgm:t>
    </dgm:pt>
    <dgm:pt modelId="{4BFEE8F7-5FF2-4901-9370-530CAFB67A6D}" type="sibTrans" cxnId="{DD0C7874-5611-46B2-917A-FBED799AA969}">
      <dgm:prSet/>
      <dgm:spPr/>
      <dgm:t>
        <a:bodyPr/>
        <a:lstStyle/>
        <a:p>
          <a:endParaRPr lang="en-US"/>
        </a:p>
      </dgm:t>
    </dgm:pt>
    <dgm:pt modelId="{8C8EC17C-622A-4DE8-95A0-7CD85AB77400}">
      <dgm:prSet phldrT="[Text]"/>
      <dgm:spPr/>
      <dgm:t>
        <a:bodyPr/>
        <a:lstStyle/>
        <a:p>
          <a:r>
            <a:rPr lang="en-US"/>
            <a:t>If </a:t>
          </a:r>
          <a:r>
            <a:rPr lang="en-US" b="1"/>
            <a:t>0</a:t>
          </a:r>
          <a:r>
            <a:rPr lang="en-US"/>
            <a:t>: Number of organ systems with severe dysfunction?</a:t>
          </a:r>
        </a:p>
      </dgm:t>
    </dgm:pt>
    <dgm:pt modelId="{C4C2F2FB-D845-4458-832C-78C7882E6D75}" type="parTrans" cxnId="{6E432CB6-B3E3-405F-AAA7-E38EFD7DA9E7}">
      <dgm:prSet/>
      <dgm:spPr/>
      <dgm:t>
        <a:bodyPr/>
        <a:lstStyle/>
        <a:p>
          <a:endParaRPr lang="en-US"/>
        </a:p>
      </dgm:t>
    </dgm:pt>
    <dgm:pt modelId="{1C37319F-571B-47E0-AA85-9E214CBE149F}" type="sibTrans" cxnId="{6E432CB6-B3E3-405F-AAA7-E38EFD7DA9E7}">
      <dgm:prSet/>
      <dgm:spPr/>
      <dgm:t>
        <a:bodyPr/>
        <a:lstStyle/>
        <a:p>
          <a:endParaRPr lang="en-US"/>
        </a:p>
      </dgm:t>
    </dgm:pt>
    <dgm:pt modelId="{AF2FFBC0-11F4-48F5-850B-672B6CDCAADA}">
      <dgm:prSet phldrT="[Text]"/>
      <dgm:spPr/>
      <dgm:t>
        <a:bodyPr/>
        <a:lstStyle/>
        <a:p>
          <a:r>
            <a:rPr lang="en-US"/>
            <a:t>If </a:t>
          </a:r>
          <a:r>
            <a:rPr lang="en-US" b="1"/>
            <a:t>&gt;1</a:t>
          </a:r>
          <a:r>
            <a:rPr lang="en-US" b="0"/>
            <a:t>: </a:t>
          </a:r>
          <a:r>
            <a:rPr lang="en-US"/>
            <a:t>Abstractor decides which organ system with </a:t>
          </a:r>
          <a:r>
            <a:rPr lang="en-US" i="1"/>
            <a:t>irreversible</a:t>
          </a:r>
          <a:r>
            <a:rPr lang="en-US"/>
            <a:t> dysfunction most directly contributed to the patient's death</a:t>
          </a:r>
          <a:endParaRPr lang="en-US" b="1"/>
        </a:p>
      </dgm:t>
    </dgm:pt>
    <dgm:pt modelId="{DB2016A1-0923-4BDD-9C1B-63EB9ABB2640}" type="parTrans" cxnId="{28535638-1AB6-49F6-A6D3-F24FA853EA1D}">
      <dgm:prSet/>
      <dgm:spPr/>
      <dgm:t>
        <a:bodyPr/>
        <a:lstStyle/>
        <a:p>
          <a:endParaRPr lang="en-US"/>
        </a:p>
      </dgm:t>
    </dgm:pt>
    <dgm:pt modelId="{E1834EB0-A64F-4C05-855F-B6FE428278EF}" type="sibTrans" cxnId="{28535638-1AB6-49F6-A6D3-F24FA853EA1D}">
      <dgm:prSet/>
      <dgm:spPr/>
      <dgm:t>
        <a:bodyPr/>
        <a:lstStyle/>
        <a:p>
          <a:endParaRPr lang="en-US"/>
        </a:p>
      </dgm:t>
    </dgm:pt>
    <dgm:pt modelId="{5EBABA6B-B78C-4802-91A2-E6B42DE0EC12}">
      <dgm:prSet/>
      <dgm:spPr/>
      <dgm:t>
        <a:bodyPr/>
        <a:lstStyle/>
        <a:p>
          <a:r>
            <a:rPr lang="en-US"/>
            <a:t>If </a:t>
          </a:r>
          <a:r>
            <a:rPr lang="en-US" b="1"/>
            <a:t>1</a:t>
          </a:r>
          <a:r>
            <a:rPr lang="en-US"/>
            <a:t>: The only organ system with </a:t>
          </a:r>
          <a:r>
            <a:rPr lang="en-US" i="1"/>
            <a:t>irreversible</a:t>
          </a:r>
          <a:r>
            <a:rPr lang="en-US"/>
            <a:t> dysfunction is determined to be the cause of death </a:t>
          </a:r>
        </a:p>
      </dgm:t>
    </dgm:pt>
    <dgm:pt modelId="{06B5E2DF-B6AF-4A89-A883-5F9E79C8B6AF}" type="parTrans" cxnId="{DB0FF664-017F-46AB-B791-B4ECB05C23E2}">
      <dgm:prSet/>
      <dgm:spPr/>
      <dgm:t>
        <a:bodyPr/>
        <a:lstStyle/>
        <a:p>
          <a:endParaRPr lang="en-US"/>
        </a:p>
      </dgm:t>
    </dgm:pt>
    <dgm:pt modelId="{E5607614-FFAC-420C-9ACA-EA6E9B54A815}" type="sibTrans" cxnId="{DB0FF664-017F-46AB-B791-B4ECB05C23E2}">
      <dgm:prSet/>
      <dgm:spPr/>
      <dgm:t>
        <a:bodyPr/>
        <a:lstStyle/>
        <a:p>
          <a:endParaRPr lang="en-US"/>
        </a:p>
      </dgm:t>
    </dgm:pt>
    <dgm:pt modelId="{10AA3AFD-2A1F-48F9-A771-73D3601F04B7}">
      <dgm:prSet/>
      <dgm:spPr/>
      <dgm:t>
        <a:bodyPr/>
        <a:lstStyle/>
        <a:p>
          <a:r>
            <a:rPr lang="en-US"/>
            <a:t>If </a:t>
          </a:r>
          <a:r>
            <a:rPr lang="en-US" b="1"/>
            <a:t>1</a:t>
          </a:r>
          <a:r>
            <a:rPr lang="en-US" b="0"/>
            <a:t>: </a:t>
          </a:r>
          <a:r>
            <a:rPr lang="en-US"/>
            <a:t>The only organ system with </a:t>
          </a:r>
          <a:r>
            <a:rPr lang="en-US" i="1"/>
            <a:t>severe</a:t>
          </a:r>
          <a:r>
            <a:rPr lang="en-US"/>
            <a:t> dysfunction is determined to be the cause of death</a:t>
          </a:r>
          <a:endParaRPr lang="en-US" b="1"/>
        </a:p>
      </dgm:t>
    </dgm:pt>
    <dgm:pt modelId="{0835081B-99AD-46BD-BE8C-FEEA0D06F3D5}" type="parTrans" cxnId="{7CE4931E-029C-4E32-AB65-7E9FD5AEE6D6}">
      <dgm:prSet/>
      <dgm:spPr/>
      <dgm:t>
        <a:bodyPr/>
        <a:lstStyle/>
        <a:p>
          <a:endParaRPr lang="en-US"/>
        </a:p>
      </dgm:t>
    </dgm:pt>
    <dgm:pt modelId="{C1504B90-F2A6-4181-ABCF-0E95471E9484}" type="sibTrans" cxnId="{7CE4931E-029C-4E32-AB65-7E9FD5AEE6D6}">
      <dgm:prSet/>
      <dgm:spPr/>
      <dgm:t>
        <a:bodyPr/>
        <a:lstStyle/>
        <a:p>
          <a:endParaRPr lang="en-US"/>
        </a:p>
      </dgm:t>
    </dgm:pt>
    <dgm:pt modelId="{C9884A66-9827-4EA5-AC0D-E9BB0598D485}">
      <dgm:prSet/>
      <dgm:spPr/>
      <dgm:t>
        <a:bodyPr/>
        <a:lstStyle/>
        <a:p>
          <a:r>
            <a:rPr lang="en-US" b="0"/>
            <a:t>If </a:t>
          </a:r>
          <a:r>
            <a:rPr lang="en-US" b="1"/>
            <a:t>&gt;1</a:t>
          </a:r>
          <a:r>
            <a:rPr lang="en-US" b="0"/>
            <a:t>: </a:t>
          </a:r>
          <a:r>
            <a:rPr lang="en-US"/>
            <a:t>Abstractor decides which organ system with </a:t>
          </a:r>
          <a:r>
            <a:rPr lang="en-US" i="1"/>
            <a:t>severe</a:t>
          </a:r>
          <a:r>
            <a:rPr lang="en-US"/>
            <a:t> dysfunction most directly contributed to the patient's death</a:t>
          </a:r>
          <a:r>
            <a:rPr lang="en-US" b="0"/>
            <a:t> </a:t>
          </a:r>
          <a:endParaRPr lang="en-US" b="1"/>
        </a:p>
      </dgm:t>
    </dgm:pt>
    <dgm:pt modelId="{79B3E99C-74C1-42F8-9A86-3DE31668A9E0}" type="parTrans" cxnId="{8B08A798-2B5D-4C39-B2FE-BB68966433F2}">
      <dgm:prSet/>
      <dgm:spPr/>
      <dgm:t>
        <a:bodyPr/>
        <a:lstStyle/>
        <a:p>
          <a:endParaRPr lang="en-US"/>
        </a:p>
      </dgm:t>
    </dgm:pt>
    <dgm:pt modelId="{75689289-0949-4435-897A-F0A3B12C692B}" type="sibTrans" cxnId="{8B08A798-2B5D-4C39-B2FE-BB68966433F2}">
      <dgm:prSet/>
      <dgm:spPr/>
      <dgm:t>
        <a:bodyPr/>
        <a:lstStyle/>
        <a:p>
          <a:endParaRPr lang="en-US"/>
        </a:p>
      </dgm:t>
    </dgm:pt>
    <dgm:pt modelId="{05670414-9C2F-43D3-8C25-B882C5E90294}" type="pres">
      <dgm:prSet presAssocID="{C84A396E-B987-4CC0-A1D7-85AD4E2C9207}" presName="mainComposite" presStyleCnt="0">
        <dgm:presLayoutVars>
          <dgm:chPref val="1"/>
          <dgm:dir/>
          <dgm:animOne val="branch"/>
          <dgm:animLvl val="lvl"/>
          <dgm:resizeHandles val="exact"/>
        </dgm:presLayoutVars>
      </dgm:prSet>
      <dgm:spPr/>
      <dgm:t>
        <a:bodyPr/>
        <a:lstStyle/>
        <a:p>
          <a:endParaRPr lang="en-US"/>
        </a:p>
      </dgm:t>
    </dgm:pt>
    <dgm:pt modelId="{4099AB81-B543-494D-8DE9-E411C3772A66}" type="pres">
      <dgm:prSet presAssocID="{C84A396E-B987-4CC0-A1D7-85AD4E2C9207}" presName="hierFlow" presStyleCnt="0"/>
      <dgm:spPr/>
    </dgm:pt>
    <dgm:pt modelId="{DA0E6ADE-49AC-4629-8F9E-6901C4A66F3B}" type="pres">
      <dgm:prSet presAssocID="{C84A396E-B987-4CC0-A1D7-85AD4E2C9207}" presName="hierChild1" presStyleCnt="0">
        <dgm:presLayoutVars>
          <dgm:chPref val="1"/>
          <dgm:animOne val="branch"/>
          <dgm:animLvl val="lvl"/>
        </dgm:presLayoutVars>
      </dgm:prSet>
      <dgm:spPr/>
    </dgm:pt>
    <dgm:pt modelId="{C7ECEA56-8F1B-437F-B040-323CD580A268}" type="pres">
      <dgm:prSet presAssocID="{05A2932A-D343-4AB2-B37D-15C0EF5B65F1}" presName="Name14" presStyleCnt="0"/>
      <dgm:spPr/>
    </dgm:pt>
    <dgm:pt modelId="{F9885CB0-59D5-494A-B7CB-B551CCCFAE94}" type="pres">
      <dgm:prSet presAssocID="{05A2932A-D343-4AB2-B37D-15C0EF5B65F1}" presName="level1Shape" presStyleLbl="node0" presStyleIdx="0" presStyleCnt="1">
        <dgm:presLayoutVars>
          <dgm:chPref val="3"/>
        </dgm:presLayoutVars>
      </dgm:prSet>
      <dgm:spPr/>
      <dgm:t>
        <a:bodyPr/>
        <a:lstStyle/>
        <a:p>
          <a:endParaRPr lang="en-US"/>
        </a:p>
      </dgm:t>
    </dgm:pt>
    <dgm:pt modelId="{C031209D-126F-4097-BB18-5BF139E05C03}" type="pres">
      <dgm:prSet presAssocID="{05A2932A-D343-4AB2-B37D-15C0EF5B65F1}" presName="hierChild2" presStyleCnt="0"/>
      <dgm:spPr/>
    </dgm:pt>
    <dgm:pt modelId="{EB2B048F-82D6-4025-BB76-75EF842AB628}" type="pres">
      <dgm:prSet presAssocID="{C4C2F2FB-D845-4458-832C-78C7882E6D75}" presName="Name19" presStyleLbl="parChTrans1D2" presStyleIdx="0" presStyleCnt="3"/>
      <dgm:spPr/>
      <dgm:t>
        <a:bodyPr/>
        <a:lstStyle/>
        <a:p>
          <a:endParaRPr lang="en-US"/>
        </a:p>
      </dgm:t>
    </dgm:pt>
    <dgm:pt modelId="{4D9A72D7-E75A-424F-A486-F170A3CB7663}" type="pres">
      <dgm:prSet presAssocID="{8C8EC17C-622A-4DE8-95A0-7CD85AB77400}" presName="Name21" presStyleCnt="0"/>
      <dgm:spPr/>
    </dgm:pt>
    <dgm:pt modelId="{891C47A0-B315-4BCF-8C0C-6299D5E75228}" type="pres">
      <dgm:prSet presAssocID="{8C8EC17C-622A-4DE8-95A0-7CD85AB77400}" presName="level2Shape" presStyleLbl="node2" presStyleIdx="0" presStyleCnt="3" custLinFactNeighborY="-1209"/>
      <dgm:spPr/>
      <dgm:t>
        <a:bodyPr/>
        <a:lstStyle/>
        <a:p>
          <a:endParaRPr lang="en-US"/>
        </a:p>
      </dgm:t>
    </dgm:pt>
    <dgm:pt modelId="{1742EDFC-03EF-45ED-8676-83BAFF6716AC}" type="pres">
      <dgm:prSet presAssocID="{8C8EC17C-622A-4DE8-95A0-7CD85AB77400}" presName="hierChild3" presStyleCnt="0"/>
      <dgm:spPr/>
    </dgm:pt>
    <dgm:pt modelId="{7D01FE66-F3A8-4196-9C0C-FF70B48A9ACE}" type="pres">
      <dgm:prSet presAssocID="{0835081B-99AD-46BD-BE8C-FEEA0D06F3D5}" presName="Name19" presStyleLbl="parChTrans1D3" presStyleIdx="0" presStyleCnt="2"/>
      <dgm:spPr/>
      <dgm:t>
        <a:bodyPr/>
        <a:lstStyle/>
        <a:p>
          <a:endParaRPr lang="en-US"/>
        </a:p>
      </dgm:t>
    </dgm:pt>
    <dgm:pt modelId="{8BF0EED3-588F-4127-9FC2-80073E8F03B3}" type="pres">
      <dgm:prSet presAssocID="{10AA3AFD-2A1F-48F9-A771-73D3601F04B7}" presName="Name21" presStyleCnt="0"/>
      <dgm:spPr/>
    </dgm:pt>
    <dgm:pt modelId="{DC7137F7-6B9E-425D-B36C-0DCBE2D8FFE1}" type="pres">
      <dgm:prSet presAssocID="{10AA3AFD-2A1F-48F9-A771-73D3601F04B7}" presName="level2Shape" presStyleLbl="node3" presStyleIdx="0" presStyleCnt="2"/>
      <dgm:spPr/>
      <dgm:t>
        <a:bodyPr/>
        <a:lstStyle/>
        <a:p>
          <a:endParaRPr lang="en-US"/>
        </a:p>
      </dgm:t>
    </dgm:pt>
    <dgm:pt modelId="{095E052B-ABEA-4C95-9232-417405461B3C}" type="pres">
      <dgm:prSet presAssocID="{10AA3AFD-2A1F-48F9-A771-73D3601F04B7}" presName="hierChild3" presStyleCnt="0"/>
      <dgm:spPr/>
    </dgm:pt>
    <dgm:pt modelId="{653FFD9D-78CE-4142-B26D-5958EF86E89C}" type="pres">
      <dgm:prSet presAssocID="{79B3E99C-74C1-42F8-9A86-3DE31668A9E0}" presName="Name19" presStyleLbl="parChTrans1D3" presStyleIdx="1" presStyleCnt="2"/>
      <dgm:spPr/>
      <dgm:t>
        <a:bodyPr/>
        <a:lstStyle/>
        <a:p>
          <a:endParaRPr lang="en-US"/>
        </a:p>
      </dgm:t>
    </dgm:pt>
    <dgm:pt modelId="{30D4A69C-83D6-4ADC-B752-245D972253E4}" type="pres">
      <dgm:prSet presAssocID="{C9884A66-9827-4EA5-AC0D-E9BB0598D485}" presName="Name21" presStyleCnt="0"/>
      <dgm:spPr/>
    </dgm:pt>
    <dgm:pt modelId="{42C48F37-48B5-47E5-B342-8380C9BDFDAC}" type="pres">
      <dgm:prSet presAssocID="{C9884A66-9827-4EA5-AC0D-E9BB0598D485}" presName="level2Shape" presStyleLbl="node3" presStyleIdx="1" presStyleCnt="2"/>
      <dgm:spPr/>
      <dgm:t>
        <a:bodyPr/>
        <a:lstStyle/>
        <a:p>
          <a:endParaRPr lang="en-US"/>
        </a:p>
      </dgm:t>
    </dgm:pt>
    <dgm:pt modelId="{FE6E2997-ECDB-4722-9152-DA77BFA66097}" type="pres">
      <dgm:prSet presAssocID="{C9884A66-9827-4EA5-AC0D-E9BB0598D485}" presName="hierChild3" presStyleCnt="0"/>
      <dgm:spPr/>
    </dgm:pt>
    <dgm:pt modelId="{21A687EB-583D-4968-88CA-88F625CD78A0}" type="pres">
      <dgm:prSet presAssocID="{06B5E2DF-B6AF-4A89-A883-5F9E79C8B6AF}" presName="Name19" presStyleLbl="parChTrans1D2" presStyleIdx="1" presStyleCnt="3"/>
      <dgm:spPr/>
      <dgm:t>
        <a:bodyPr/>
        <a:lstStyle/>
        <a:p>
          <a:endParaRPr lang="en-US"/>
        </a:p>
      </dgm:t>
    </dgm:pt>
    <dgm:pt modelId="{CA20132B-44BF-49CF-A6DE-645E16054DEF}" type="pres">
      <dgm:prSet presAssocID="{5EBABA6B-B78C-4802-91A2-E6B42DE0EC12}" presName="Name21" presStyleCnt="0"/>
      <dgm:spPr/>
    </dgm:pt>
    <dgm:pt modelId="{D9F0AB87-BB74-4E89-9B04-8A2C9BAFE83A}" type="pres">
      <dgm:prSet presAssocID="{5EBABA6B-B78C-4802-91A2-E6B42DE0EC12}" presName="level2Shape" presStyleLbl="node2" presStyleIdx="1" presStyleCnt="3"/>
      <dgm:spPr/>
      <dgm:t>
        <a:bodyPr/>
        <a:lstStyle/>
        <a:p>
          <a:endParaRPr lang="en-US"/>
        </a:p>
      </dgm:t>
    </dgm:pt>
    <dgm:pt modelId="{950B909A-897B-4ADC-9493-92B35577087B}" type="pres">
      <dgm:prSet presAssocID="{5EBABA6B-B78C-4802-91A2-E6B42DE0EC12}" presName="hierChild3" presStyleCnt="0"/>
      <dgm:spPr/>
    </dgm:pt>
    <dgm:pt modelId="{4539681D-9D3C-4096-938F-F2EE4D638448}" type="pres">
      <dgm:prSet presAssocID="{DB2016A1-0923-4BDD-9C1B-63EB9ABB2640}" presName="Name19" presStyleLbl="parChTrans1D2" presStyleIdx="2" presStyleCnt="3"/>
      <dgm:spPr/>
      <dgm:t>
        <a:bodyPr/>
        <a:lstStyle/>
        <a:p>
          <a:endParaRPr lang="en-US"/>
        </a:p>
      </dgm:t>
    </dgm:pt>
    <dgm:pt modelId="{56C4990A-BFE7-4077-9837-EA8E43C0663B}" type="pres">
      <dgm:prSet presAssocID="{AF2FFBC0-11F4-48F5-850B-672B6CDCAADA}" presName="Name21" presStyleCnt="0"/>
      <dgm:spPr/>
    </dgm:pt>
    <dgm:pt modelId="{97B42C08-63E9-4C25-866A-40924229D6C1}" type="pres">
      <dgm:prSet presAssocID="{AF2FFBC0-11F4-48F5-850B-672B6CDCAADA}" presName="level2Shape" presStyleLbl="node2" presStyleIdx="2" presStyleCnt="3"/>
      <dgm:spPr/>
      <dgm:t>
        <a:bodyPr/>
        <a:lstStyle/>
        <a:p>
          <a:endParaRPr lang="en-US"/>
        </a:p>
      </dgm:t>
    </dgm:pt>
    <dgm:pt modelId="{40C6DEA0-9CF9-4FFC-9D67-3745EB0D4103}" type="pres">
      <dgm:prSet presAssocID="{AF2FFBC0-11F4-48F5-850B-672B6CDCAADA}" presName="hierChild3" presStyleCnt="0"/>
      <dgm:spPr/>
    </dgm:pt>
    <dgm:pt modelId="{0250835A-9421-4DF1-86C6-B502E572F6AF}" type="pres">
      <dgm:prSet presAssocID="{C84A396E-B987-4CC0-A1D7-85AD4E2C9207}" presName="bgShapesFlow" presStyleCnt="0"/>
      <dgm:spPr/>
    </dgm:pt>
  </dgm:ptLst>
  <dgm:cxnLst>
    <dgm:cxn modelId="{94340D75-C5E1-47D8-A438-051004551E6C}" type="presOf" srcId="{79B3E99C-74C1-42F8-9A86-3DE31668A9E0}" destId="{653FFD9D-78CE-4142-B26D-5958EF86E89C}" srcOrd="0" destOrd="0" presId="urn:microsoft.com/office/officeart/2005/8/layout/hierarchy6"/>
    <dgm:cxn modelId="{DD0C7874-5611-46B2-917A-FBED799AA969}" srcId="{C84A396E-B987-4CC0-A1D7-85AD4E2C9207}" destId="{05A2932A-D343-4AB2-B37D-15C0EF5B65F1}" srcOrd="0" destOrd="0" parTransId="{70CAB1DA-7F73-4442-AE23-7A588BCEE068}" sibTransId="{4BFEE8F7-5FF2-4901-9370-530CAFB67A6D}"/>
    <dgm:cxn modelId="{8B08A798-2B5D-4C39-B2FE-BB68966433F2}" srcId="{8C8EC17C-622A-4DE8-95A0-7CD85AB77400}" destId="{C9884A66-9827-4EA5-AC0D-E9BB0598D485}" srcOrd="1" destOrd="0" parTransId="{79B3E99C-74C1-42F8-9A86-3DE31668A9E0}" sibTransId="{75689289-0949-4435-897A-F0A3B12C692B}"/>
    <dgm:cxn modelId="{61E2B869-BDE8-4263-B431-47FCBFBD0E28}" type="presOf" srcId="{C84A396E-B987-4CC0-A1D7-85AD4E2C9207}" destId="{05670414-9C2F-43D3-8C25-B882C5E90294}" srcOrd="0" destOrd="0" presId="urn:microsoft.com/office/officeart/2005/8/layout/hierarchy6"/>
    <dgm:cxn modelId="{18F0D6AF-04F5-4659-B60B-854C88D5D688}" type="presOf" srcId="{05A2932A-D343-4AB2-B37D-15C0EF5B65F1}" destId="{F9885CB0-59D5-494A-B7CB-B551CCCFAE94}" srcOrd="0" destOrd="0" presId="urn:microsoft.com/office/officeart/2005/8/layout/hierarchy6"/>
    <dgm:cxn modelId="{DB0FF664-017F-46AB-B791-B4ECB05C23E2}" srcId="{05A2932A-D343-4AB2-B37D-15C0EF5B65F1}" destId="{5EBABA6B-B78C-4802-91A2-E6B42DE0EC12}" srcOrd="1" destOrd="0" parTransId="{06B5E2DF-B6AF-4A89-A883-5F9E79C8B6AF}" sibTransId="{E5607614-FFAC-420C-9ACA-EA6E9B54A815}"/>
    <dgm:cxn modelId="{1F300736-07E7-46DE-81BD-74DFA5EE1935}" type="presOf" srcId="{AF2FFBC0-11F4-48F5-850B-672B6CDCAADA}" destId="{97B42C08-63E9-4C25-866A-40924229D6C1}" srcOrd="0" destOrd="0" presId="urn:microsoft.com/office/officeart/2005/8/layout/hierarchy6"/>
    <dgm:cxn modelId="{51F0429E-8DAF-4671-ABBB-C8832D5F6190}" type="presOf" srcId="{8C8EC17C-622A-4DE8-95A0-7CD85AB77400}" destId="{891C47A0-B315-4BCF-8C0C-6299D5E75228}" srcOrd="0" destOrd="0" presId="urn:microsoft.com/office/officeart/2005/8/layout/hierarchy6"/>
    <dgm:cxn modelId="{186B4510-5754-44D6-898E-00353E5EEF9B}" type="presOf" srcId="{5EBABA6B-B78C-4802-91A2-E6B42DE0EC12}" destId="{D9F0AB87-BB74-4E89-9B04-8A2C9BAFE83A}" srcOrd="0" destOrd="0" presId="urn:microsoft.com/office/officeart/2005/8/layout/hierarchy6"/>
    <dgm:cxn modelId="{02B41477-E215-41E6-872F-1B0CE12EB20E}" type="presOf" srcId="{0835081B-99AD-46BD-BE8C-FEEA0D06F3D5}" destId="{7D01FE66-F3A8-4196-9C0C-FF70B48A9ACE}" srcOrd="0" destOrd="0" presId="urn:microsoft.com/office/officeart/2005/8/layout/hierarchy6"/>
    <dgm:cxn modelId="{6E432CB6-B3E3-405F-AAA7-E38EFD7DA9E7}" srcId="{05A2932A-D343-4AB2-B37D-15C0EF5B65F1}" destId="{8C8EC17C-622A-4DE8-95A0-7CD85AB77400}" srcOrd="0" destOrd="0" parTransId="{C4C2F2FB-D845-4458-832C-78C7882E6D75}" sibTransId="{1C37319F-571B-47E0-AA85-9E214CBE149F}"/>
    <dgm:cxn modelId="{857B0E87-8AB2-42DA-8980-F14CDB31948D}" type="presOf" srcId="{06B5E2DF-B6AF-4A89-A883-5F9E79C8B6AF}" destId="{21A687EB-583D-4968-88CA-88F625CD78A0}" srcOrd="0" destOrd="0" presId="urn:microsoft.com/office/officeart/2005/8/layout/hierarchy6"/>
    <dgm:cxn modelId="{28535638-1AB6-49F6-A6D3-F24FA853EA1D}" srcId="{05A2932A-D343-4AB2-B37D-15C0EF5B65F1}" destId="{AF2FFBC0-11F4-48F5-850B-672B6CDCAADA}" srcOrd="2" destOrd="0" parTransId="{DB2016A1-0923-4BDD-9C1B-63EB9ABB2640}" sibTransId="{E1834EB0-A64F-4C05-855F-B6FE428278EF}"/>
    <dgm:cxn modelId="{7CE4931E-029C-4E32-AB65-7E9FD5AEE6D6}" srcId="{8C8EC17C-622A-4DE8-95A0-7CD85AB77400}" destId="{10AA3AFD-2A1F-48F9-A771-73D3601F04B7}" srcOrd="0" destOrd="0" parTransId="{0835081B-99AD-46BD-BE8C-FEEA0D06F3D5}" sibTransId="{C1504B90-F2A6-4181-ABCF-0E95471E9484}"/>
    <dgm:cxn modelId="{4EF28B60-50C5-409C-90D6-8A1B5460D075}" type="presOf" srcId="{C9884A66-9827-4EA5-AC0D-E9BB0598D485}" destId="{42C48F37-48B5-47E5-B342-8380C9BDFDAC}" srcOrd="0" destOrd="0" presId="urn:microsoft.com/office/officeart/2005/8/layout/hierarchy6"/>
    <dgm:cxn modelId="{BDB49C1A-C354-46D8-A8DA-527048B98AB6}" type="presOf" srcId="{C4C2F2FB-D845-4458-832C-78C7882E6D75}" destId="{EB2B048F-82D6-4025-BB76-75EF842AB628}" srcOrd="0" destOrd="0" presId="urn:microsoft.com/office/officeart/2005/8/layout/hierarchy6"/>
    <dgm:cxn modelId="{7D6C1086-DE97-428C-8053-8B2B15641B8E}" type="presOf" srcId="{10AA3AFD-2A1F-48F9-A771-73D3601F04B7}" destId="{DC7137F7-6B9E-425D-B36C-0DCBE2D8FFE1}" srcOrd="0" destOrd="0" presId="urn:microsoft.com/office/officeart/2005/8/layout/hierarchy6"/>
    <dgm:cxn modelId="{CD48FCD4-CC39-4676-9BC3-6250E5646A43}" type="presOf" srcId="{DB2016A1-0923-4BDD-9C1B-63EB9ABB2640}" destId="{4539681D-9D3C-4096-938F-F2EE4D638448}" srcOrd="0" destOrd="0" presId="urn:microsoft.com/office/officeart/2005/8/layout/hierarchy6"/>
    <dgm:cxn modelId="{CF5B5999-788D-4014-B88E-873D0A7D62B9}" type="presParOf" srcId="{05670414-9C2F-43D3-8C25-B882C5E90294}" destId="{4099AB81-B543-494D-8DE9-E411C3772A66}" srcOrd="0" destOrd="0" presId="urn:microsoft.com/office/officeart/2005/8/layout/hierarchy6"/>
    <dgm:cxn modelId="{B46B5D89-65AE-4A83-943A-28B990D16CF1}" type="presParOf" srcId="{4099AB81-B543-494D-8DE9-E411C3772A66}" destId="{DA0E6ADE-49AC-4629-8F9E-6901C4A66F3B}" srcOrd="0" destOrd="0" presId="urn:microsoft.com/office/officeart/2005/8/layout/hierarchy6"/>
    <dgm:cxn modelId="{6ACF1389-102B-4D48-ABDE-816F445C0790}" type="presParOf" srcId="{DA0E6ADE-49AC-4629-8F9E-6901C4A66F3B}" destId="{C7ECEA56-8F1B-437F-B040-323CD580A268}" srcOrd="0" destOrd="0" presId="urn:microsoft.com/office/officeart/2005/8/layout/hierarchy6"/>
    <dgm:cxn modelId="{72B51DBC-B7B6-40BE-8D24-7A05DE2C8E03}" type="presParOf" srcId="{C7ECEA56-8F1B-437F-B040-323CD580A268}" destId="{F9885CB0-59D5-494A-B7CB-B551CCCFAE94}" srcOrd="0" destOrd="0" presId="urn:microsoft.com/office/officeart/2005/8/layout/hierarchy6"/>
    <dgm:cxn modelId="{52E6D4C1-9527-4F2A-AC80-C077AA922334}" type="presParOf" srcId="{C7ECEA56-8F1B-437F-B040-323CD580A268}" destId="{C031209D-126F-4097-BB18-5BF139E05C03}" srcOrd="1" destOrd="0" presId="urn:microsoft.com/office/officeart/2005/8/layout/hierarchy6"/>
    <dgm:cxn modelId="{71162B80-218B-4537-A4FA-68F57A35801E}" type="presParOf" srcId="{C031209D-126F-4097-BB18-5BF139E05C03}" destId="{EB2B048F-82D6-4025-BB76-75EF842AB628}" srcOrd="0" destOrd="0" presId="urn:microsoft.com/office/officeart/2005/8/layout/hierarchy6"/>
    <dgm:cxn modelId="{A80D1762-BEC5-46E1-8060-2FA7A3FD9337}" type="presParOf" srcId="{C031209D-126F-4097-BB18-5BF139E05C03}" destId="{4D9A72D7-E75A-424F-A486-F170A3CB7663}" srcOrd="1" destOrd="0" presId="urn:microsoft.com/office/officeart/2005/8/layout/hierarchy6"/>
    <dgm:cxn modelId="{E08D56A3-E038-4338-A1C2-E65CBE24AA29}" type="presParOf" srcId="{4D9A72D7-E75A-424F-A486-F170A3CB7663}" destId="{891C47A0-B315-4BCF-8C0C-6299D5E75228}" srcOrd="0" destOrd="0" presId="urn:microsoft.com/office/officeart/2005/8/layout/hierarchy6"/>
    <dgm:cxn modelId="{4B955FEF-76B5-4A83-8A0A-FABFEC7B220B}" type="presParOf" srcId="{4D9A72D7-E75A-424F-A486-F170A3CB7663}" destId="{1742EDFC-03EF-45ED-8676-83BAFF6716AC}" srcOrd="1" destOrd="0" presId="urn:microsoft.com/office/officeart/2005/8/layout/hierarchy6"/>
    <dgm:cxn modelId="{ABC850B7-C538-4F04-B705-1308F9280220}" type="presParOf" srcId="{1742EDFC-03EF-45ED-8676-83BAFF6716AC}" destId="{7D01FE66-F3A8-4196-9C0C-FF70B48A9ACE}" srcOrd="0" destOrd="0" presId="urn:microsoft.com/office/officeart/2005/8/layout/hierarchy6"/>
    <dgm:cxn modelId="{50797CE4-3E90-4159-A15E-3BC9804DFFF6}" type="presParOf" srcId="{1742EDFC-03EF-45ED-8676-83BAFF6716AC}" destId="{8BF0EED3-588F-4127-9FC2-80073E8F03B3}" srcOrd="1" destOrd="0" presId="urn:microsoft.com/office/officeart/2005/8/layout/hierarchy6"/>
    <dgm:cxn modelId="{0A533C76-699C-4AD2-B1CC-272F425A43A4}" type="presParOf" srcId="{8BF0EED3-588F-4127-9FC2-80073E8F03B3}" destId="{DC7137F7-6B9E-425D-B36C-0DCBE2D8FFE1}" srcOrd="0" destOrd="0" presId="urn:microsoft.com/office/officeart/2005/8/layout/hierarchy6"/>
    <dgm:cxn modelId="{BD3BB097-1DC8-4D1A-983E-E26DC2B5987E}" type="presParOf" srcId="{8BF0EED3-588F-4127-9FC2-80073E8F03B3}" destId="{095E052B-ABEA-4C95-9232-417405461B3C}" srcOrd="1" destOrd="0" presId="urn:microsoft.com/office/officeart/2005/8/layout/hierarchy6"/>
    <dgm:cxn modelId="{D4C64283-B7A8-47DE-A78C-3251A83D5BED}" type="presParOf" srcId="{1742EDFC-03EF-45ED-8676-83BAFF6716AC}" destId="{653FFD9D-78CE-4142-B26D-5958EF86E89C}" srcOrd="2" destOrd="0" presId="urn:microsoft.com/office/officeart/2005/8/layout/hierarchy6"/>
    <dgm:cxn modelId="{6E4284D4-E7B0-4106-BD74-CAF8B04F9E72}" type="presParOf" srcId="{1742EDFC-03EF-45ED-8676-83BAFF6716AC}" destId="{30D4A69C-83D6-4ADC-B752-245D972253E4}" srcOrd="3" destOrd="0" presId="urn:microsoft.com/office/officeart/2005/8/layout/hierarchy6"/>
    <dgm:cxn modelId="{1C0FF7A3-5429-49C5-A41F-B1B8E20CF782}" type="presParOf" srcId="{30D4A69C-83D6-4ADC-B752-245D972253E4}" destId="{42C48F37-48B5-47E5-B342-8380C9BDFDAC}" srcOrd="0" destOrd="0" presId="urn:microsoft.com/office/officeart/2005/8/layout/hierarchy6"/>
    <dgm:cxn modelId="{F3F2BC4F-91AA-4EE7-8D2F-AE3276AEE082}" type="presParOf" srcId="{30D4A69C-83D6-4ADC-B752-245D972253E4}" destId="{FE6E2997-ECDB-4722-9152-DA77BFA66097}" srcOrd="1" destOrd="0" presId="urn:microsoft.com/office/officeart/2005/8/layout/hierarchy6"/>
    <dgm:cxn modelId="{300F7594-1EC5-46E6-8357-76B2CB7BF4B1}" type="presParOf" srcId="{C031209D-126F-4097-BB18-5BF139E05C03}" destId="{21A687EB-583D-4968-88CA-88F625CD78A0}" srcOrd="2" destOrd="0" presId="urn:microsoft.com/office/officeart/2005/8/layout/hierarchy6"/>
    <dgm:cxn modelId="{3CDAEE6C-2A7F-4D1B-8DFC-37AD48D9F203}" type="presParOf" srcId="{C031209D-126F-4097-BB18-5BF139E05C03}" destId="{CA20132B-44BF-49CF-A6DE-645E16054DEF}" srcOrd="3" destOrd="0" presId="urn:microsoft.com/office/officeart/2005/8/layout/hierarchy6"/>
    <dgm:cxn modelId="{21ECE91A-1C53-4E5F-8D5A-A53CE8587501}" type="presParOf" srcId="{CA20132B-44BF-49CF-A6DE-645E16054DEF}" destId="{D9F0AB87-BB74-4E89-9B04-8A2C9BAFE83A}" srcOrd="0" destOrd="0" presId="urn:microsoft.com/office/officeart/2005/8/layout/hierarchy6"/>
    <dgm:cxn modelId="{719558EB-F1FA-45DE-94AE-F4972C7A3016}" type="presParOf" srcId="{CA20132B-44BF-49CF-A6DE-645E16054DEF}" destId="{950B909A-897B-4ADC-9493-92B35577087B}" srcOrd="1" destOrd="0" presId="urn:microsoft.com/office/officeart/2005/8/layout/hierarchy6"/>
    <dgm:cxn modelId="{58205EEA-3674-4509-9CA1-3DEC030FF401}" type="presParOf" srcId="{C031209D-126F-4097-BB18-5BF139E05C03}" destId="{4539681D-9D3C-4096-938F-F2EE4D638448}" srcOrd="4" destOrd="0" presId="urn:microsoft.com/office/officeart/2005/8/layout/hierarchy6"/>
    <dgm:cxn modelId="{70DB30AB-89DB-4180-9097-43A98C3C7C21}" type="presParOf" srcId="{C031209D-126F-4097-BB18-5BF139E05C03}" destId="{56C4990A-BFE7-4077-9837-EA8E43C0663B}" srcOrd="5" destOrd="0" presId="urn:microsoft.com/office/officeart/2005/8/layout/hierarchy6"/>
    <dgm:cxn modelId="{E3394F6D-F86F-4E7E-A3E3-FA4B62586076}" type="presParOf" srcId="{56C4990A-BFE7-4077-9837-EA8E43C0663B}" destId="{97B42C08-63E9-4C25-866A-40924229D6C1}" srcOrd="0" destOrd="0" presId="urn:microsoft.com/office/officeart/2005/8/layout/hierarchy6"/>
    <dgm:cxn modelId="{9D803186-5D17-47CF-BE2A-0A19B8A2C101}" type="presParOf" srcId="{56C4990A-BFE7-4077-9837-EA8E43C0663B}" destId="{40C6DEA0-9CF9-4FFC-9D67-3745EB0D4103}" srcOrd="1" destOrd="0" presId="urn:microsoft.com/office/officeart/2005/8/layout/hierarchy6"/>
    <dgm:cxn modelId="{6F4CF8DC-5B9B-4995-90F8-AEA0D51C026C}" type="presParOf" srcId="{05670414-9C2F-43D3-8C25-B882C5E90294}" destId="{0250835A-9421-4DF1-86C6-B502E572F6AF}" srcOrd="1" destOrd="0" presId="urn:microsoft.com/office/officeart/2005/8/layout/hierarchy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885CB0-59D5-494A-B7CB-B551CCCFAE94}">
      <dsp:nvSpPr>
        <dsp:cNvPr id="0" name=""/>
        <dsp:cNvSpPr/>
      </dsp:nvSpPr>
      <dsp:spPr>
        <a:xfrm>
          <a:off x="3618861" y="89719"/>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Number of Organ Systems with </a:t>
          </a:r>
          <a:r>
            <a:rPr lang="en-US" sz="1200" i="1" kern="1200"/>
            <a:t>Irreversible</a:t>
          </a:r>
          <a:r>
            <a:rPr lang="en-US" sz="1200" kern="1200"/>
            <a:t> Dysfunction?</a:t>
          </a:r>
        </a:p>
      </dsp:txBody>
      <dsp:txXfrm>
        <a:off x="3655067" y="125925"/>
        <a:ext cx="1781809" cy="1163735"/>
      </dsp:txXfrm>
    </dsp:sp>
    <dsp:sp modelId="{EB2B048F-82D6-4025-BB76-75EF842AB628}">
      <dsp:nvSpPr>
        <dsp:cNvPr id="0" name=""/>
        <dsp:cNvSpPr/>
      </dsp:nvSpPr>
      <dsp:spPr>
        <a:xfrm>
          <a:off x="2135483" y="1325866"/>
          <a:ext cx="2410488" cy="479514"/>
        </a:xfrm>
        <a:custGeom>
          <a:avLst/>
          <a:gdLst/>
          <a:ahLst/>
          <a:cxnLst/>
          <a:rect l="0" t="0" r="0" b="0"/>
          <a:pathLst>
            <a:path>
              <a:moveTo>
                <a:pt x="2410488" y="0"/>
              </a:moveTo>
              <a:lnTo>
                <a:pt x="2410488" y="239757"/>
              </a:lnTo>
              <a:lnTo>
                <a:pt x="0" y="239757"/>
              </a:lnTo>
              <a:lnTo>
                <a:pt x="0" y="4795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1C47A0-B315-4BCF-8C0C-6299D5E75228}">
      <dsp:nvSpPr>
        <dsp:cNvPr id="0" name=""/>
        <dsp:cNvSpPr/>
      </dsp:nvSpPr>
      <dsp:spPr>
        <a:xfrm>
          <a:off x="1208372" y="1805381"/>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If </a:t>
          </a:r>
          <a:r>
            <a:rPr lang="en-US" sz="1200" b="1" kern="1200"/>
            <a:t>0</a:t>
          </a:r>
          <a:r>
            <a:rPr lang="en-US" sz="1200" kern="1200"/>
            <a:t>: Number of organ systems with severe dysfunction?</a:t>
          </a:r>
        </a:p>
      </dsp:txBody>
      <dsp:txXfrm>
        <a:off x="1244578" y="1841587"/>
        <a:ext cx="1781809" cy="1163735"/>
      </dsp:txXfrm>
    </dsp:sp>
    <dsp:sp modelId="{7D01FE66-F3A8-4196-9C0C-FF70B48A9ACE}">
      <dsp:nvSpPr>
        <dsp:cNvPr id="0" name=""/>
        <dsp:cNvSpPr/>
      </dsp:nvSpPr>
      <dsp:spPr>
        <a:xfrm>
          <a:off x="930239" y="3041528"/>
          <a:ext cx="1205244" cy="509404"/>
        </a:xfrm>
        <a:custGeom>
          <a:avLst/>
          <a:gdLst/>
          <a:ahLst/>
          <a:cxnLst/>
          <a:rect l="0" t="0" r="0" b="0"/>
          <a:pathLst>
            <a:path>
              <a:moveTo>
                <a:pt x="1205244" y="0"/>
              </a:moveTo>
              <a:lnTo>
                <a:pt x="1205244" y="254702"/>
              </a:lnTo>
              <a:lnTo>
                <a:pt x="0" y="254702"/>
              </a:lnTo>
              <a:lnTo>
                <a:pt x="0" y="5094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7137F7-6B9E-425D-B36C-0DCBE2D8FFE1}">
      <dsp:nvSpPr>
        <dsp:cNvPr id="0" name=""/>
        <dsp:cNvSpPr/>
      </dsp:nvSpPr>
      <dsp:spPr>
        <a:xfrm>
          <a:off x="3128" y="3550933"/>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If </a:t>
          </a:r>
          <a:r>
            <a:rPr lang="en-US" sz="1200" b="1" kern="1200"/>
            <a:t>1</a:t>
          </a:r>
          <a:r>
            <a:rPr lang="en-US" sz="1200" b="0" kern="1200"/>
            <a:t>: </a:t>
          </a:r>
          <a:r>
            <a:rPr lang="en-US" sz="1200" kern="1200"/>
            <a:t>The only organ system with </a:t>
          </a:r>
          <a:r>
            <a:rPr lang="en-US" sz="1200" i="1" kern="1200"/>
            <a:t>severe</a:t>
          </a:r>
          <a:r>
            <a:rPr lang="en-US" sz="1200" kern="1200"/>
            <a:t> dysfunction is determined to be the cause of death</a:t>
          </a:r>
          <a:endParaRPr lang="en-US" sz="1200" b="1" kern="1200"/>
        </a:p>
      </dsp:txBody>
      <dsp:txXfrm>
        <a:off x="39334" y="3587139"/>
        <a:ext cx="1781809" cy="1163735"/>
      </dsp:txXfrm>
    </dsp:sp>
    <dsp:sp modelId="{653FFD9D-78CE-4142-B26D-5958EF86E89C}">
      <dsp:nvSpPr>
        <dsp:cNvPr id="0" name=""/>
        <dsp:cNvSpPr/>
      </dsp:nvSpPr>
      <dsp:spPr>
        <a:xfrm>
          <a:off x="2135483" y="3041528"/>
          <a:ext cx="1205244" cy="509404"/>
        </a:xfrm>
        <a:custGeom>
          <a:avLst/>
          <a:gdLst/>
          <a:ahLst/>
          <a:cxnLst/>
          <a:rect l="0" t="0" r="0" b="0"/>
          <a:pathLst>
            <a:path>
              <a:moveTo>
                <a:pt x="0" y="0"/>
              </a:moveTo>
              <a:lnTo>
                <a:pt x="0" y="254702"/>
              </a:lnTo>
              <a:lnTo>
                <a:pt x="1205244" y="254702"/>
              </a:lnTo>
              <a:lnTo>
                <a:pt x="1205244" y="5094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C48F37-48B5-47E5-B342-8380C9BDFDAC}">
      <dsp:nvSpPr>
        <dsp:cNvPr id="0" name=""/>
        <dsp:cNvSpPr/>
      </dsp:nvSpPr>
      <dsp:spPr>
        <a:xfrm>
          <a:off x="2413617" y="3550933"/>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t>If </a:t>
          </a:r>
          <a:r>
            <a:rPr lang="en-US" sz="1200" b="1" kern="1200"/>
            <a:t>&gt;1</a:t>
          </a:r>
          <a:r>
            <a:rPr lang="en-US" sz="1200" b="0" kern="1200"/>
            <a:t>: </a:t>
          </a:r>
          <a:r>
            <a:rPr lang="en-US" sz="1200" kern="1200"/>
            <a:t>Abstractor decides which organ system with </a:t>
          </a:r>
          <a:r>
            <a:rPr lang="en-US" sz="1200" i="1" kern="1200"/>
            <a:t>severe</a:t>
          </a:r>
          <a:r>
            <a:rPr lang="en-US" sz="1200" kern="1200"/>
            <a:t> dysfunction most directly contributed to the patient's death</a:t>
          </a:r>
          <a:r>
            <a:rPr lang="en-US" sz="1200" b="0" kern="1200"/>
            <a:t> </a:t>
          </a:r>
          <a:endParaRPr lang="en-US" sz="1200" b="1" kern="1200"/>
        </a:p>
      </dsp:txBody>
      <dsp:txXfrm>
        <a:off x="2449823" y="3587139"/>
        <a:ext cx="1781809" cy="1163735"/>
      </dsp:txXfrm>
    </dsp:sp>
    <dsp:sp modelId="{21A687EB-583D-4968-88CA-88F625CD78A0}">
      <dsp:nvSpPr>
        <dsp:cNvPr id="0" name=""/>
        <dsp:cNvSpPr/>
      </dsp:nvSpPr>
      <dsp:spPr>
        <a:xfrm>
          <a:off x="4500252" y="1325866"/>
          <a:ext cx="91440" cy="494459"/>
        </a:xfrm>
        <a:custGeom>
          <a:avLst/>
          <a:gdLst/>
          <a:ahLst/>
          <a:cxnLst/>
          <a:rect l="0" t="0" r="0" b="0"/>
          <a:pathLst>
            <a:path>
              <a:moveTo>
                <a:pt x="45720" y="0"/>
              </a:moveTo>
              <a:lnTo>
                <a:pt x="45720" y="49445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F0AB87-BB74-4E89-9B04-8A2C9BAFE83A}">
      <dsp:nvSpPr>
        <dsp:cNvPr id="0" name=""/>
        <dsp:cNvSpPr/>
      </dsp:nvSpPr>
      <dsp:spPr>
        <a:xfrm>
          <a:off x="3618861" y="1820326"/>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If </a:t>
          </a:r>
          <a:r>
            <a:rPr lang="en-US" sz="1200" b="1" kern="1200"/>
            <a:t>1</a:t>
          </a:r>
          <a:r>
            <a:rPr lang="en-US" sz="1200" kern="1200"/>
            <a:t>: The only organ system with </a:t>
          </a:r>
          <a:r>
            <a:rPr lang="en-US" sz="1200" i="1" kern="1200"/>
            <a:t>irreversible</a:t>
          </a:r>
          <a:r>
            <a:rPr lang="en-US" sz="1200" kern="1200"/>
            <a:t> dysfunction is determined to be the cause of death </a:t>
          </a:r>
        </a:p>
      </dsp:txBody>
      <dsp:txXfrm>
        <a:off x="3655067" y="1856532"/>
        <a:ext cx="1781809" cy="1163735"/>
      </dsp:txXfrm>
    </dsp:sp>
    <dsp:sp modelId="{4539681D-9D3C-4096-938F-F2EE4D638448}">
      <dsp:nvSpPr>
        <dsp:cNvPr id="0" name=""/>
        <dsp:cNvSpPr/>
      </dsp:nvSpPr>
      <dsp:spPr>
        <a:xfrm>
          <a:off x="4545972" y="1325866"/>
          <a:ext cx="2410488" cy="494459"/>
        </a:xfrm>
        <a:custGeom>
          <a:avLst/>
          <a:gdLst/>
          <a:ahLst/>
          <a:cxnLst/>
          <a:rect l="0" t="0" r="0" b="0"/>
          <a:pathLst>
            <a:path>
              <a:moveTo>
                <a:pt x="0" y="0"/>
              </a:moveTo>
              <a:lnTo>
                <a:pt x="0" y="247229"/>
              </a:lnTo>
              <a:lnTo>
                <a:pt x="2410488" y="247229"/>
              </a:lnTo>
              <a:lnTo>
                <a:pt x="2410488" y="49445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B42C08-63E9-4C25-866A-40924229D6C1}">
      <dsp:nvSpPr>
        <dsp:cNvPr id="0" name=""/>
        <dsp:cNvSpPr/>
      </dsp:nvSpPr>
      <dsp:spPr>
        <a:xfrm>
          <a:off x="6029349" y="1820326"/>
          <a:ext cx="1854221" cy="12361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If </a:t>
          </a:r>
          <a:r>
            <a:rPr lang="en-US" sz="1200" b="1" kern="1200"/>
            <a:t>&gt;1</a:t>
          </a:r>
          <a:r>
            <a:rPr lang="en-US" sz="1200" b="0" kern="1200"/>
            <a:t>: </a:t>
          </a:r>
          <a:r>
            <a:rPr lang="en-US" sz="1200" kern="1200"/>
            <a:t>Abstractor decides which organ system with </a:t>
          </a:r>
          <a:r>
            <a:rPr lang="en-US" sz="1200" i="1" kern="1200"/>
            <a:t>irreversible</a:t>
          </a:r>
          <a:r>
            <a:rPr lang="en-US" sz="1200" kern="1200"/>
            <a:t> dysfunction most directly contributed to the patient's death</a:t>
          </a:r>
          <a:endParaRPr lang="en-US" sz="1200" b="1" kern="1200"/>
        </a:p>
      </dsp:txBody>
      <dsp:txXfrm>
        <a:off x="6065555" y="1856532"/>
        <a:ext cx="1781809" cy="11637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Ketcham</dc:creator>
  <cp:keywords/>
  <dc:description/>
  <cp:lastModifiedBy>Scott Ketcham</cp:lastModifiedBy>
  <cp:revision>7</cp:revision>
  <dcterms:created xsi:type="dcterms:W3CDTF">2020-05-23T17:48:00Z</dcterms:created>
  <dcterms:modified xsi:type="dcterms:W3CDTF">2020-05-28T15:41:00Z</dcterms:modified>
</cp:coreProperties>
</file>