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A32" w:rsidRDefault="005E1A32" w:rsidP="005E1A32">
      <w:pPr>
        <w:jc w:val="center"/>
        <w:rPr>
          <w:sz w:val="44"/>
          <w:szCs w:val="44"/>
        </w:rPr>
      </w:pPr>
    </w:p>
    <w:p w:rsidR="005E1A32" w:rsidRDefault="005E1A32" w:rsidP="005E1A32">
      <w:pPr>
        <w:jc w:val="center"/>
        <w:rPr>
          <w:sz w:val="44"/>
          <w:szCs w:val="44"/>
        </w:rPr>
      </w:pPr>
    </w:p>
    <w:p w:rsidR="005E1A32" w:rsidRDefault="005E1A32" w:rsidP="005E1A32">
      <w:pPr>
        <w:jc w:val="center"/>
        <w:rPr>
          <w:sz w:val="44"/>
          <w:szCs w:val="44"/>
        </w:rPr>
      </w:pPr>
    </w:p>
    <w:p w:rsidR="005E1A32" w:rsidRDefault="005E1A32" w:rsidP="005E1A32">
      <w:pPr>
        <w:jc w:val="center"/>
        <w:rPr>
          <w:sz w:val="44"/>
          <w:szCs w:val="44"/>
        </w:rPr>
      </w:pPr>
    </w:p>
    <w:p w:rsidR="005E1A32" w:rsidRDefault="005E1A32" w:rsidP="005E1A32">
      <w:pPr>
        <w:jc w:val="center"/>
        <w:rPr>
          <w:sz w:val="44"/>
          <w:szCs w:val="44"/>
        </w:rPr>
      </w:pPr>
    </w:p>
    <w:p w:rsidR="005E1A32" w:rsidRDefault="005E1A32" w:rsidP="005E1A32">
      <w:pPr>
        <w:jc w:val="center"/>
        <w:rPr>
          <w:sz w:val="44"/>
          <w:szCs w:val="44"/>
        </w:rPr>
      </w:pPr>
    </w:p>
    <w:p w:rsidR="005E1A32" w:rsidRDefault="005E1A32" w:rsidP="005E1A32">
      <w:pPr>
        <w:jc w:val="center"/>
        <w:rPr>
          <w:sz w:val="44"/>
          <w:szCs w:val="44"/>
        </w:rPr>
      </w:pPr>
    </w:p>
    <w:p w:rsidR="005E1A32" w:rsidRDefault="00823A9A" w:rsidP="005E1A32">
      <w:pPr>
        <w:jc w:val="center"/>
        <w:rPr>
          <w:sz w:val="44"/>
          <w:szCs w:val="44"/>
        </w:rPr>
      </w:pPr>
      <w:r>
        <w:rPr>
          <w:sz w:val="44"/>
          <w:szCs w:val="44"/>
        </w:rPr>
        <w:t>Additional file 1</w:t>
      </w:r>
      <w:r w:rsidR="005E1A32">
        <w:rPr>
          <w:sz w:val="44"/>
          <w:szCs w:val="44"/>
        </w:rPr>
        <w:br w:type="page"/>
      </w:r>
    </w:p>
    <w:p w:rsidR="00C14458" w:rsidRDefault="00C14458" w:rsidP="00F2347D">
      <w:pPr>
        <w:spacing w:line="480" w:lineRule="auto"/>
        <w:jc w:val="left"/>
        <w:rPr>
          <w:rFonts w:ascii="Times New Roman" w:hAnsi="Times New Roman" w:cs="Times New Roman"/>
          <w:b/>
          <w:sz w:val="24"/>
          <w:szCs w:val="24"/>
        </w:rPr>
      </w:pPr>
      <w:r w:rsidRPr="00C14458">
        <w:rPr>
          <w:rFonts w:ascii="Times New Roman" w:hAnsi="Times New Roman" w:cs="Times New Roman"/>
          <w:b/>
          <w:sz w:val="24"/>
          <w:szCs w:val="24"/>
        </w:rPr>
        <w:lastRenderedPageBreak/>
        <w:t>Supplemental Methods</w:t>
      </w:r>
    </w:p>
    <w:p w:rsidR="00BC751E" w:rsidRPr="00C14458" w:rsidRDefault="00BC751E" w:rsidP="00F2347D">
      <w:pPr>
        <w:spacing w:line="480" w:lineRule="auto"/>
        <w:jc w:val="left"/>
        <w:rPr>
          <w:rFonts w:ascii="Times New Roman" w:hAnsi="Times New Roman" w:cs="Times New Roman"/>
          <w:b/>
          <w:sz w:val="24"/>
          <w:szCs w:val="24"/>
        </w:rPr>
      </w:pPr>
      <w:bookmarkStart w:id="0" w:name="_GoBack"/>
      <w:bookmarkEnd w:id="0"/>
    </w:p>
    <w:p w:rsidR="007B3573" w:rsidRPr="009234CD" w:rsidRDefault="005E1A32" w:rsidP="00F2347D">
      <w:pPr>
        <w:spacing w:line="480" w:lineRule="auto"/>
        <w:jc w:val="left"/>
        <w:rPr>
          <w:rFonts w:ascii="Times New Roman" w:hAnsi="Times New Roman" w:cs="Times New Roman"/>
          <w:b/>
          <w:sz w:val="22"/>
          <w:u w:val="single"/>
        </w:rPr>
      </w:pPr>
      <w:r w:rsidRPr="009234CD">
        <w:rPr>
          <w:rFonts w:ascii="Times New Roman" w:hAnsi="Times New Roman" w:cs="Times New Roman"/>
          <w:b/>
          <w:sz w:val="22"/>
          <w:u w:val="single"/>
        </w:rPr>
        <w:t>Study design</w:t>
      </w:r>
    </w:p>
    <w:p w:rsidR="00857BB5" w:rsidRPr="009234CD" w:rsidRDefault="00F26F14" w:rsidP="00F2347D">
      <w:pPr>
        <w:spacing w:line="480" w:lineRule="auto"/>
        <w:jc w:val="left"/>
        <w:rPr>
          <w:rFonts w:ascii="Times New Roman" w:hAnsi="Times New Roman" w:cs="Times New Roman"/>
          <w:sz w:val="22"/>
        </w:rPr>
      </w:pPr>
      <w:r w:rsidRPr="009234CD">
        <w:rPr>
          <w:rFonts w:ascii="Times New Roman" w:hAnsi="Times New Roman" w:cs="Times New Roman"/>
          <w:sz w:val="22"/>
        </w:rPr>
        <w:t>To evaluate whether a sedation strategy with dexmedetomidine can improve clinical outcomes, we conducted t</w:t>
      </w:r>
      <w:r w:rsidR="00AF2EA9" w:rsidRPr="009234CD">
        <w:rPr>
          <w:rFonts w:ascii="Times New Roman" w:hAnsi="Times New Roman" w:cs="Times New Roman"/>
          <w:sz w:val="22"/>
        </w:rPr>
        <w:t>he Dexmedetomidine for Sepsis in Intensive Care Unit (ICU) Rando</w:t>
      </w:r>
      <w:r w:rsidRPr="009234CD">
        <w:rPr>
          <w:rFonts w:ascii="Times New Roman" w:hAnsi="Times New Roman" w:cs="Times New Roman"/>
          <w:sz w:val="22"/>
        </w:rPr>
        <w:t>mized Evaluation (DESIRE) trial which</w:t>
      </w:r>
      <w:r w:rsidR="005E1A32" w:rsidRPr="009234CD">
        <w:rPr>
          <w:rFonts w:ascii="Times New Roman" w:hAnsi="Times New Roman" w:cs="Times New Roman"/>
          <w:sz w:val="22"/>
        </w:rPr>
        <w:t xml:space="preserve"> was a</w:t>
      </w:r>
      <w:r w:rsidRPr="009234CD">
        <w:rPr>
          <w:rFonts w:ascii="Times New Roman" w:hAnsi="Times New Roman" w:cs="Times New Roman"/>
          <w:sz w:val="22"/>
        </w:rPr>
        <w:t xml:space="preserve"> </w:t>
      </w:r>
      <w:r w:rsidR="005E1A32" w:rsidRPr="009234CD">
        <w:rPr>
          <w:rFonts w:ascii="Times New Roman" w:hAnsi="Times New Roman" w:cs="Times New Roman"/>
          <w:sz w:val="22"/>
        </w:rPr>
        <w:t>multicenter, open-label randomized clinical trial in patients who had sepsis requiring mechanical ventilation</w:t>
      </w:r>
      <w:r w:rsidR="007C712D" w:rsidRPr="009234CD">
        <w:rPr>
          <w:rFonts w:ascii="Times New Roman" w:hAnsi="Times New Roman" w:cs="Times New Roman"/>
          <w:sz w:val="22"/>
        </w:rPr>
        <w:t xml:space="preserve"> [1]</w:t>
      </w:r>
      <w:r w:rsidR="005E1A32" w:rsidRPr="009234CD">
        <w:rPr>
          <w:rFonts w:ascii="Times New Roman" w:hAnsi="Times New Roman" w:cs="Times New Roman"/>
          <w:sz w:val="22"/>
        </w:rPr>
        <w:t xml:space="preserve">. </w:t>
      </w:r>
      <w:r w:rsidR="00051A1F" w:rsidRPr="009234CD">
        <w:rPr>
          <w:rFonts w:ascii="Times New Roman" w:hAnsi="Times New Roman" w:cs="Times New Roman"/>
          <w:sz w:val="22"/>
        </w:rPr>
        <w:t xml:space="preserve">The DESIRE trial was registered at Clinical Trials. gov (identifier: NCT 01760967). </w:t>
      </w:r>
      <w:r w:rsidR="00D32058" w:rsidRPr="009234CD">
        <w:rPr>
          <w:rFonts w:ascii="Times New Roman" w:hAnsi="Times New Roman" w:cs="Times New Roman"/>
          <w:sz w:val="22"/>
        </w:rPr>
        <w:t xml:space="preserve">The trial was conducted in 8 ICUs in Japan. The first patient was enrolled in February 2013 and the trial was completed in January 2016. This study was approved by the institutional review boards of Wakayama Medical University and each participating institution. Written informed consent was obtained from the patient or patient’s family before randomization. Patients did not receive a stipend for participation in this trial. </w:t>
      </w:r>
      <w:r w:rsidR="00AC3A5D" w:rsidRPr="009234CD">
        <w:rPr>
          <w:rFonts w:ascii="Times New Roman" w:hAnsi="Times New Roman" w:cs="Times New Roman"/>
          <w:sz w:val="22"/>
        </w:rPr>
        <w:t xml:space="preserve">The co-primary outcomes of the trial were 28-day mortality and ventilator-free days over 28 days. Because duration of mechanical ventilation was highly influenced by mortality, we </w:t>
      </w:r>
      <w:r w:rsidR="00051A1F" w:rsidRPr="009234CD">
        <w:rPr>
          <w:rFonts w:ascii="Times New Roman" w:hAnsi="Times New Roman" w:cs="Times New Roman"/>
          <w:sz w:val="22"/>
        </w:rPr>
        <w:t>changed</w:t>
      </w:r>
      <w:r w:rsidR="00AC3A5D" w:rsidRPr="009234CD">
        <w:rPr>
          <w:rFonts w:ascii="Times New Roman" w:hAnsi="Times New Roman" w:cs="Times New Roman"/>
          <w:sz w:val="22"/>
        </w:rPr>
        <w:t xml:space="preserve"> 28-days ventilator free days</w:t>
      </w:r>
      <w:r w:rsidR="00051A1F" w:rsidRPr="009234CD">
        <w:rPr>
          <w:rFonts w:ascii="Times New Roman" w:hAnsi="Times New Roman" w:cs="Times New Roman"/>
          <w:sz w:val="22"/>
        </w:rPr>
        <w:t xml:space="preserve"> from ventilator days</w:t>
      </w:r>
      <w:r w:rsidR="00AC3A5D" w:rsidRPr="009234CD">
        <w:rPr>
          <w:rFonts w:ascii="Times New Roman" w:hAnsi="Times New Roman" w:cs="Times New Roman"/>
          <w:sz w:val="22"/>
        </w:rPr>
        <w:t xml:space="preserve"> as primary endpoint. The 28-days ventilator free days was calculated by 28 days or living days minus day under mechanical ventilation after randomization.</w:t>
      </w:r>
      <w:r w:rsidR="007D023E" w:rsidRPr="009234CD">
        <w:rPr>
          <w:rFonts w:ascii="Times New Roman" w:hAnsi="Times New Roman" w:cs="Times New Roman"/>
          <w:sz w:val="22"/>
        </w:rPr>
        <w:t xml:space="preserve"> To estimate the sample size, we set 28-day survival would be 80% in DEX group and 60% in non-DEX group based on the results of MENDS randomized </w:t>
      </w:r>
      <w:r w:rsidR="007D023E" w:rsidRPr="009234CD">
        <w:rPr>
          <w:rFonts w:ascii="Times New Roman" w:hAnsi="Times New Roman" w:cs="Times New Roman"/>
          <w:sz w:val="22"/>
        </w:rPr>
        <w:lastRenderedPageBreak/>
        <w:t>controlled trial, which showed that the 28-day survival was 84% among the group receiving dexmedetoidine and 59% among the control group</w:t>
      </w:r>
      <w:r w:rsidR="007C712D" w:rsidRPr="009234CD">
        <w:rPr>
          <w:rFonts w:ascii="Times New Roman" w:hAnsi="Times New Roman" w:cs="Times New Roman"/>
          <w:sz w:val="22"/>
        </w:rPr>
        <w:t xml:space="preserve"> [2]</w:t>
      </w:r>
      <w:r w:rsidR="007D023E" w:rsidRPr="009234CD">
        <w:rPr>
          <w:rFonts w:ascii="Times New Roman" w:hAnsi="Times New Roman" w:cs="Times New Roman"/>
          <w:sz w:val="22"/>
        </w:rPr>
        <w:t>. 172 patients were needed to achieve 80% power with a 2-sided alpha level of 5%. A 15% dropout or withdrawal rate were estimated; and 200 patients were planned to enroll.</w:t>
      </w:r>
      <w:r w:rsidR="00857BB5" w:rsidRPr="009234CD">
        <w:rPr>
          <w:rFonts w:ascii="Times New Roman" w:hAnsi="Times New Roman" w:cs="Times New Roman"/>
          <w:sz w:val="22"/>
        </w:rPr>
        <w:t xml:space="preserve"> Clinical outcomes were analyzed according to the intention-to-treat principle. All time-to-event data were censored at 28 days. Missing data were analyzed without imputation but there were no missing data of observations during the ICU stay. </w:t>
      </w:r>
    </w:p>
    <w:p w:rsidR="00857BB5" w:rsidRPr="009234CD" w:rsidRDefault="00857BB5" w:rsidP="00F2347D">
      <w:pPr>
        <w:spacing w:line="480" w:lineRule="auto"/>
        <w:jc w:val="left"/>
        <w:rPr>
          <w:rFonts w:ascii="Times New Roman" w:hAnsi="Times New Roman" w:cs="Times New Roman"/>
          <w:sz w:val="22"/>
        </w:rPr>
      </w:pPr>
      <w:r w:rsidRPr="009234CD">
        <w:rPr>
          <w:rFonts w:ascii="Times New Roman" w:hAnsi="Times New Roman" w:cs="Times New Roman"/>
          <w:sz w:val="22"/>
        </w:rPr>
        <w:t xml:space="preserve">We included the allocation variables of presence of emergency surgery, chronic obstructive pulmonary disease, and infection sites as covariates and study center were included as stratification variable to take into account for the differences between study centers. </w:t>
      </w:r>
    </w:p>
    <w:p w:rsidR="00857BB5" w:rsidRPr="009234CD" w:rsidRDefault="00857BB5" w:rsidP="00F2347D">
      <w:pPr>
        <w:spacing w:line="480" w:lineRule="auto"/>
        <w:jc w:val="left"/>
        <w:rPr>
          <w:rFonts w:ascii="Times New Roman" w:hAnsi="Times New Roman" w:cs="Times New Roman"/>
          <w:sz w:val="22"/>
        </w:rPr>
      </w:pPr>
      <w:r w:rsidRPr="009234CD">
        <w:rPr>
          <w:rFonts w:ascii="Times New Roman" w:hAnsi="Times New Roman" w:cs="Times New Roman"/>
          <w:sz w:val="22"/>
        </w:rPr>
        <w:t xml:space="preserve">All statistical analyses were conducted by independent stratification who was masked for allocation. </w:t>
      </w:r>
    </w:p>
    <w:p w:rsidR="00C14458" w:rsidRDefault="00C14458" w:rsidP="00F2347D">
      <w:pPr>
        <w:spacing w:line="480" w:lineRule="auto"/>
        <w:jc w:val="left"/>
        <w:rPr>
          <w:rFonts w:ascii="Times New Roman" w:hAnsi="Times New Roman" w:cs="Times New Roman"/>
          <w:sz w:val="22"/>
        </w:rPr>
      </w:pPr>
    </w:p>
    <w:p w:rsidR="009378E4" w:rsidRPr="00C14458" w:rsidRDefault="009378E4" w:rsidP="00F2347D">
      <w:pPr>
        <w:spacing w:line="480" w:lineRule="auto"/>
        <w:jc w:val="left"/>
        <w:rPr>
          <w:rFonts w:ascii="Times New Roman" w:hAnsi="Times New Roman" w:cs="Times New Roman"/>
          <w:b/>
          <w:sz w:val="22"/>
          <w:u w:val="single"/>
        </w:rPr>
      </w:pPr>
      <w:r w:rsidRPr="009234CD">
        <w:rPr>
          <w:rFonts w:ascii="Times New Roman" w:hAnsi="Times New Roman" w:cs="Times New Roman"/>
          <w:b/>
          <w:sz w:val="22"/>
          <w:u w:val="single"/>
        </w:rPr>
        <w:t xml:space="preserve">Patients </w:t>
      </w:r>
    </w:p>
    <w:p w:rsidR="009378E4" w:rsidRPr="009234CD" w:rsidRDefault="009378E4" w:rsidP="00F2347D">
      <w:pPr>
        <w:spacing w:line="480" w:lineRule="auto"/>
        <w:jc w:val="left"/>
        <w:rPr>
          <w:rFonts w:ascii="Times New Roman" w:hAnsi="Times New Roman" w:cs="Times New Roman"/>
          <w:sz w:val="22"/>
        </w:rPr>
      </w:pPr>
      <w:r w:rsidRPr="009234CD">
        <w:rPr>
          <w:rFonts w:ascii="Times New Roman" w:hAnsi="Times New Roman" w:cs="Times New Roman"/>
          <w:sz w:val="22"/>
        </w:rPr>
        <w:t xml:space="preserve">Patients </w:t>
      </w:r>
      <w:r w:rsidR="00353D1E" w:rsidRPr="009234CD">
        <w:rPr>
          <w:rFonts w:ascii="Times New Roman" w:hAnsi="Times New Roman" w:cs="Times New Roman"/>
          <w:sz w:val="22"/>
        </w:rPr>
        <w:t>who were 20 years old or older, had sepsis, and who ICU physician considered need mechanical ventilation for at least 24 hours were eligible for the study. Sepsis was defined as systemic inflammatory response syndrome due to infection</w:t>
      </w:r>
      <w:r w:rsidR="007C712D" w:rsidRPr="009234CD">
        <w:rPr>
          <w:rFonts w:ascii="Times New Roman" w:hAnsi="Times New Roman" w:cs="Times New Roman"/>
          <w:sz w:val="22"/>
        </w:rPr>
        <w:t xml:space="preserve"> [3]</w:t>
      </w:r>
      <w:r w:rsidR="00353D1E" w:rsidRPr="009234CD">
        <w:rPr>
          <w:rFonts w:ascii="Times New Roman" w:hAnsi="Times New Roman" w:cs="Times New Roman"/>
          <w:sz w:val="22"/>
        </w:rPr>
        <w:t>. Because fluid resuscitation and anti-sepsis treatments are necessary for</w:t>
      </w:r>
      <w:r w:rsidR="00051A1F" w:rsidRPr="009234CD">
        <w:rPr>
          <w:rFonts w:ascii="Times New Roman" w:hAnsi="Times New Roman" w:cs="Times New Roman"/>
          <w:sz w:val="22"/>
        </w:rPr>
        <w:t xml:space="preserve"> acute pancreatitis (similar to</w:t>
      </w:r>
      <w:r w:rsidR="00353D1E" w:rsidRPr="009234CD">
        <w:rPr>
          <w:rFonts w:ascii="Times New Roman" w:hAnsi="Times New Roman" w:cs="Times New Roman"/>
          <w:sz w:val="22"/>
        </w:rPr>
        <w:t xml:space="preserve"> an infection), cases of acute </w:t>
      </w:r>
      <w:r w:rsidR="00353D1E" w:rsidRPr="009234CD">
        <w:rPr>
          <w:rFonts w:ascii="Times New Roman" w:hAnsi="Times New Roman" w:cs="Times New Roman"/>
          <w:sz w:val="22"/>
        </w:rPr>
        <w:lastRenderedPageBreak/>
        <w:t>pancreatitis were included as an infection</w:t>
      </w:r>
      <w:r w:rsidR="00FF114C" w:rsidRPr="009234CD">
        <w:rPr>
          <w:rFonts w:ascii="Times New Roman" w:hAnsi="Times New Roman" w:cs="Times New Roman"/>
          <w:sz w:val="22"/>
        </w:rPr>
        <w:t xml:space="preserve"> whereas cases of burns or heat stroke were not. Soft-tissue infection including necrotizing fasciitis and Fournier gangrene were considered to take unusually longer treatment for debridement in the ICU. Patients were excluded if they (1) had severe chronic liver disease (Child-Pugh B or C), (2) had acute myocardial infarction or severe heart failure (class 4 on the New York Heart Association functional classification system), (3) were drug dependence or alcoholism, or a psychological illness or severe cognitive dysfunction, (4) were pregnant or lactating or were allergic to dexmedetomidine.</w:t>
      </w:r>
    </w:p>
    <w:p w:rsidR="00FF114C" w:rsidRPr="009234CD" w:rsidRDefault="00FF114C" w:rsidP="00F2347D">
      <w:pPr>
        <w:spacing w:line="480" w:lineRule="auto"/>
        <w:jc w:val="left"/>
        <w:rPr>
          <w:rFonts w:ascii="Times New Roman" w:hAnsi="Times New Roman" w:cs="Times New Roman"/>
          <w:sz w:val="22"/>
        </w:rPr>
      </w:pPr>
    </w:p>
    <w:p w:rsidR="00FF114C" w:rsidRPr="00C14458" w:rsidRDefault="00FF114C" w:rsidP="00F2347D">
      <w:pPr>
        <w:spacing w:line="480" w:lineRule="auto"/>
        <w:jc w:val="left"/>
        <w:rPr>
          <w:rFonts w:ascii="Times New Roman" w:hAnsi="Times New Roman" w:cs="Times New Roman"/>
          <w:b/>
          <w:sz w:val="22"/>
          <w:u w:val="single"/>
        </w:rPr>
      </w:pPr>
      <w:r w:rsidRPr="009234CD">
        <w:rPr>
          <w:rFonts w:ascii="Times New Roman" w:hAnsi="Times New Roman" w:cs="Times New Roman"/>
          <w:b/>
          <w:sz w:val="22"/>
          <w:u w:val="single"/>
        </w:rPr>
        <w:t xml:space="preserve">Randomization and Intervention </w:t>
      </w:r>
    </w:p>
    <w:p w:rsidR="00FF114C" w:rsidRPr="009234CD" w:rsidRDefault="00FF114C" w:rsidP="00F2347D">
      <w:pPr>
        <w:spacing w:line="480" w:lineRule="auto"/>
        <w:jc w:val="left"/>
        <w:rPr>
          <w:rFonts w:ascii="Times New Roman" w:hAnsi="Times New Roman" w:cs="Times New Roman"/>
          <w:sz w:val="22"/>
        </w:rPr>
      </w:pPr>
      <w:r w:rsidRPr="009234CD">
        <w:rPr>
          <w:rFonts w:ascii="Times New Roman" w:hAnsi="Times New Roman" w:cs="Times New Roman"/>
          <w:sz w:val="22"/>
        </w:rPr>
        <w:t>Eligible patients were randomly assigned to receive either the sedation strategy with dexmedetomidine (DEX group) or the sedation strategy without dexmedetomidine (non-DEX group</w:t>
      </w:r>
      <w:r w:rsidR="0065294B" w:rsidRPr="009234CD">
        <w:rPr>
          <w:rFonts w:ascii="Times New Roman" w:hAnsi="Times New Roman" w:cs="Times New Roman"/>
          <w:sz w:val="22"/>
        </w:rPr>
        <w:t>). Registration and data management were conducted using an electronic data capturing</w:t>
      </w:r>
    </w:p>
    <w:p w:rsidR="00122277" w:rsidRPr="009234CD" w:rsidRDefault="0065294B" w:rsidP="00F2347D">
      <w:pPr>
        <w:spacing w:line="480" w:lineRule="auto"/>
        <w:jc w:val="left"/>
        <w:rPr>
          <w:rFonts w:ascii="Times New Roman" w:hAnsi="Times New Roman" w:cs="Times New Roman"/>
          <w:sz w:val="22"/>
        </w:rPr>
      </w:pPr>
      <w:r w:rsidRPr="009234CD">
        <w:rPr>
          <w:rFonts w:ascii="Times New Roman" w:hAnsi="Times New Roman" w:cs="Times New Roman"/>
          <w:sz w:val="22"/>
        </w:rPr>
        <w:t xml:space="preserve">System. Randomization was conducted by permutated block randomization stratified by study center, </w:t>
      </w:r>
      <w:r w:rsidR="009631F8" w:rsidRPr="009234CD">
        <w:rPr>
          <w:rFonts w:ascii="Times New Roman" w:hAnsi="Times New Roman" w:cs="Times New Roman"/>
          <w:sz w:val="22"/>
        </w:rPr>
        <w:t xml:space="preserve">presence of emergency surgery, chronic obstructive pulmonary disease, and infection sites. </w:t>
      </w:r>
      <w:r w:rsidR="00122277" w:rsidRPr="009234CD">
        <w:rPr>
          <w:rFonts w:ascii="Times New Roman" w:eastAsiaTheme="majorEastAsia" w:hAnsi="Times New Roman" w:cs="Times New Roman"/>
          <w:sz w:val="22"/>
        </w:rPr>
        <w:t>The block size was four but not notified to physicians or investigators during the study.</w:t>
      </w:r>
    </w:p>
    <w:p w:rsidR="00FF114C" w:rsidRPr="009234CD" w:rsidRDefault="009631F8" w:rsidP="00F2347D">
      <w:pPr>
        <w:spacing w:line="480" w:lineRule="auto"/>
        <w:jc w:val="left"/>
        <w:rPr>
          <w:rFonts w:ascii="Times New Roman" w:hAnsi="Times New Roman" w:cs="Times New Roman"/>
          <w:sz w:val="22"/>
        </w:rPr>
      </w:pPr>
      <w:r w:rsidRPr="009234CD">
        <w:rPr>
          <w:rFonts w:ascii="Times New Roman" w:hAnsi="Times New Roman" w:cs="Times New Roman"/>
          <w:sz w:val="22"/>
        </w:rPr>
        <w:t xml:space="preserve">Patients in DEX group received dexmedetomidine and analgesia constantly, and other sedatives were added as needed. Patients in </w:t>
      </w:r>
      <w:r w:rsidR="00DE6F9E" w:rsidRPr="009234CD">
        <w:rPr>
          <w:rFonts w:ascii="Times New Roman" w:hAnsi="Times New Roman" w:cs="Times New Roman"/>
          <w:sz w:val="22"/>
        </w:rPr>
        <w:t xml:space="preserve">non-DEX group received sedative drugs such as propofol, midazolam, and analgesia without dexmedetomidine. Controlled the sedation level according to </w:t>
      </w:r>
      <w:r w:rsidR="00DE6F9E" w:rsidRPr="009234CD">
        <w:rPr>
          <w:rFonts w:ascii="Times New Roman" w:hAnsi="Times New Roman" w:cs="Times New Roman"/>
          <w:sz w:val="22"/>
        </w:rPr>
        <w:lastRenderedPageBreak/>
        <w:t xml:space="preserve">the Richmond Agitation Sedation Scale (RASS) to achieve a score </w:t>
      </w:r>
      <w:r w:rsidR="008A14C4" w:rsidRPr="009234CD">
        <w:rPr>
          <w:rFonts w:ascii="Times New Roman" w:hAnsi="Times New Roman" w:cs="Times New Roman"/>
          <w:sz w:val="22"/>
        </w:rPr>
        <w:t>of 0 (calm) during the day and a score of -2 (lightly sedated)</w:t>
      </w:r>
      <w:r w:rsidR="00CB117A" w:rsidRPr="009234CD">
        <w:rPr>
          <w:rFonts w:ascii="Times New Roman" w:hAnsi="Times New Roman" w:cs="Times New Roman"/>
          <w:sz w:val="22"/>
        </w:rPr>
        <w:t xml:space="preserve"> during the night in both groups</w:t>
      </w:r>
      <w:r w:rsidR="007C712D" w:rsidRPr="009234CD">
        <w:rPr>
          <w:rFonts w:ascii="Times New Roman" w:hAnsi="Times New Roman" w:cs="Times New Roman"/>
          <w:sz w:val="22"/>
        </w:rPr>
        <w:t xml:space="preserve"> [4]</w:t>
      </w:r>
      <w:r w:rsidR="00CB117A" w:rsidRPr="009234CD">
        <w:rPr>
          <w:rFonts w:ascii="Times New Roman" w:hAnsi="Times New Roman" w:cs="Times New Roman"/>
          <w:sz w:val="22"/>
        </w:rPr>
        <w:t>. Sedation was maintained throughout the duration of mechanical ventilation or as needed. The sedation protocols were also in compliance with the Clinical Practice Guidelines for Sustained Use of Sedatives and Analgesics in the Critically Ill Adult</w:t>
      </w:r>
      <w:r w:rsidR="007C712D" w:rsidRPr="009234CD">
        <w:rPr>
          <w:rFonts w:ascii="Times New Roman" w:hAnsi="Times New Roman" w:cs="Times New Roman"/>
          <w:sz w:val="22"/>
        </w:rPr>
        <w:t xml:space="preserve"> [5]</w:t>
      </w:r>
      <w:r w:rsidR="00CB117A" w:rsidRPr="009234CD">
        <w:rPr>
          <w:rFonts w:ascii="Times New Roman" w:hAnsi="Times New Roman" w:cs="Times New Roman"/>
          <w:sz w:val="22"/>
        </w:rPr>
        <w:t xml:space="preserve">. </w:t>
      </w:r>
    </w:p>
    <w:p w:rsidR="0039092B" w:rsidRPr="009234CD" w:rsidRDefault="0039092B" w:rsidP="00F2347D">
      <w:pPr>
        <w:spacing w:line="480" w:lineRule="auto"/>
        <w:jc w:val="left"/>
        <w:rPr>
          <w:rFonts w:ascii="Times New Roman" w:hAnsi="Times New Roman" w:cs="Times New Roman"/>
          <w:sz w:val="22"/>
        </w:rPr>
      </w:pPr>
    </w:p>
    <w:p w:rsidR="0039092B" w:rsidRPr="003A6D61" w:rsidRDefault="0039092B" w:rsidP="00F2347D">
      <w:pPr>
        <w:spacing w:line="480" w:lineRule="auto"/>
        <w:jc w:val="left"/>
        <w:rPr>
          <w:rFonts w:ascii="Times New Roman" w:hAnsi="Times New Roman" w:cs="Times New Roman"/>
          <w:b/>
          <w:sz w:val="22"/>
          <w:u w:val="single"/>
        </w:rPr>
      </w:pPr>
      <w:r w:rsidRPr="003A6D61">
        <w:rPr>
          <w:rFonts w:ascii="Times New Roman" w:hAnsi="Times New Roman" w:cs="Times New Roman"/>
          <w:b/>
          <w:sz w:val="22"/>
          <w:u w:val="single"/>
        </w:rPr>
        <w:t>Reference</w:t>
      </w:r>
    </w:p>
    <w:p w:rsidR="007C712D" w:rsidRPr="009234CD" w:rsidRDefault="007C712D" w:rsidP="00F2347D">
      <w:pPr>
        <w:pStyle w:val="EndNoteBibliography"/>
        <w:numPr>
          <w:ilvl w:val="0"/>
          <w:numId w:val="1"/>
        </w:numPr>
        <w:spacing w:line="480" w:lineRule="auto"/>
        <w:rPr>
          <w:rFonts w:ascii="Times New Roman" w:hAnsi="Times New Roman"/>
          <w:sz w:val="22"/>
        </w:rPr>
      </w:pPr>
      <w:r w:rsidRPr="009234CD">
        <w:rPr>
          <w:rFonts w:ascii="Times New Roman" w:hAnsi="Times New Roman"/>
          <w:sz w:val="22"/>
        </w:rPr>
        <w:t>Kawazoe Y, Miyamoto K, Morimoto T, Yamamoto T, Fuke A, Hashimoto A, Koami H, Beppu S, Katayama Y, Itoh M, Ohta Y, Yamamura H (2017) Effect of Dexmedetomidine on Mortality and Ventilator-Free Days in Patients Requiring Mechanical Ventilation With Sepsis: A Randomize</w:t>
      </w:r>
      <w:r w:rsidR="002D479C" w:rsidRPr="009234CD">
        <w:rPr>
          <w:rFonts w:ascii="Times New Roman" w:hAnsi="Times New Roman"/>
          <w:sz w:val="22"/>
        </w:rPr>
        <w:t>d Clinical Trial. JAMA 317:1321-</w:t>
      </w:r>
      <w:r w:rsidRPr="009234CD">
        <w:rPr>
          <w:rFonts w:ascii="Times New Roman" w:hAnsi="Times New Roman"/>
          <w:sz w:val="22"/>
        </w:rPr>
        <w:t>1328.</w:t>
      </w:r>
      <w:r w:rsidR="002D479C" w:rsidRPr="009234CD">
        <w:rPr>
          <w:rFonts w:ascii="Times New Roman" w:hAnsi="Times New Roman"/>
          <w:sz w:val="22"/>
        </w:rPr>
        <w:t xml:space="preserve"> </w:t>
      </w:r>
      <w:r w:rsidRPr="009234CD">
        <w:rPr>
          <w:rFonts w:ascii="Times New Roman" w:hAnsi="Times New Roman"/>
          <w:sz w:val="22"/>
        </w:rPr>
        <w:t>https://doi.10.1001/jama.2017.2088</w:t>
      </w:r>
    </w:p>
    <w:p w:rsidR="009234CD" w:rsidRPr="009234CD" w:rsidRDefault="00B25FB4" w:rsidP="002A25D5">
      <w:pPr>
        <w:pStyle w:val="EndNoteBibliography"/>
        <w:numPr>
          <w:ilvl w:val="0"/>
          <w:numId w:val="1"/>
        </w:numPr>
        <w:spacing w:line="480" w:lineRule="auto"/>
        <w:rPr>
          <w:rFonts w:ascii="Times New Roman" w:hAnsi="Times New Roman"/>
          <w:sz w:val="22"/>
        </w:rPr>
      </w:pPr>
      <w:r w:rsidRPr="009234CD">
        <w:rPr>
          <w:rFonts w:ascii="Times New Roman" w:hAnsi="Times New Roman"/>
          <w:sz w:val="22"/>
        </w:rPr>
        <w:t xml:space="preserve">Pandharipande PP, Sanders RD, Girard TD, McGrane S, Thompson JL, Shintani AK, Herr DL, Maze M, Ely EW; MENDS investigators (2010) Effect </w:t>
      </w:r>
      <w:r w:rsidRPr="00B25FB4">
        <w:rPr>
          <w:rFonts w:ascii="Times New Roman" w:eastAsia="ＭＳ Ｐゴシック" w:hAnsi="Times New Roman"/>
          <w:bCs/>
          <w:kern w:val="36"/>
          <w:sz w:val="22"/>
        </w:rPr>
        <w:t>of dexmedetomidine versus lorazepam on outcome in patients with sepsis: an a priori-designed analysis of the ME</w:t>
      </w:r>
      <w:r w:rsidR="002D479C" w:rsidRPr="009234CD">
        <w:rPr>
          <w:rFonts w:ascii="Times New Roman" w:eastAsia="ＭＳ Ｐゴシック" w:hAnsi="Times New Roman"/>
          <w:bCs/>
          <w:kern w:val="36"/>
          <w:sz w:val="22"/>
        </w:rPr>
        <w:t>NDS randomized controlled trial</w:t>
      </w:r>
      <w:r w:rsidRPr="009234CD">
        <w:rPr>
          <w:rFonts w:ascii="Times New Roman" w:eastAsia="ＭＳ Ｐゴシック" w:hAnsi="Times New Roman"/>
          <w:bCs/>
          <w:kern w:val="36"/>
          <w:sz w:val="22"/>
        </w:rPr>
        <w:t xml:space="preserve"> </w:t>
      </w:r>
      <w:r w:rsidR="002D479C" w:rsidRPr="009234CD">
        <w:rPr>
          <w:rFonts w:ascii="Times New Roman" w:hAnsi="Times New Roman"/>
          <w:sz w:val="22"/>
        </w:rPr>
        <w:t>Crit Care</w:t>
      </w:r>
      <w:r w:rsidRPr="009234CD">
        <w:rPr>
          <w:rFonts w:ascii="Times New Roman" w:hAnsi="Times New Roman"/>
          <w:sz w:val="22"/>
        </w:rPr>
        <w:t xml:space="preserve"> </w:t>
      </w:r>
      <w:r w:rsidR="002D479C" w:rsidRPr="009234CD">
        <w:rPr>
          <w:rFonts w:ascii="Times New Roman" w:hAnsi="Times New Roman"/>
          <w:sz w:val="22"/>
        </w:rPr>
        <w:t xml:space="preserve">14:R38 </w:t>
      </w:r>
    </w:p>
    <w:p w:rsidR="00B25FB4" w:rsidRPr="009234CD" w:rsidRDefault="00B25FB4" w:rsidP="002A25D5">
      <w:pPr>
        <w:pStyle w:val="EndNoteBibliography"/>
        <w:numPr>
          <w:ilvl w:val="0"/>
          <w:numId w:val="1"/>
        </w:numPr>
        <w:spacing w:line="480" w:lineRule="auto"/>
        <w:rPr>
          <w:rFonts w:ascii="Times New Roman" w:hAnsi="Times New Roman"/>
          <w:sz w:val="22"/>
        </w:rPr>
      </w:pPr>
      <w:r w:rsidRPr="009234CD">
        <w:rPr>
          <w:rFonts w:ascii="Times New Roman" w:hAnsi="Times New Roman"/>
          <w:sz w:val="22"/>
        </w:rPr>
        <w:t xml:space="preserve">Bone RC, Balk RA, Cerra FB, Dellinger RP, Fein AM, Knaus WA, Schein RM, Sibbald WJ (1992) Definitions for sepsis and organ failure and guidelines for the use of innovative </w:t>
      </w:r>
      <w:r w:rsidRPr="009234CD">
        <w:rPr>
          <w:rFonts w:ascii="Times New Roman" w:hAnsi="Times New Roman"/>
          <w:sz w:val="22"/>
        </w:rPr>
        <w:lastRenderedPageBreak/>
        <w:t>therapies in sepsis. The ACCP/SCCM Consensus Conference Committee. American College of Chest Physicians/Society of Critical Care Medicine. Chest 101:1644-1655</w:t>
      </w:r>
    </w:p>
    <w:p w:rsidR="00B25FB4" w:rsidRPr="009234CD" w:rsidRDefault="00B25FB4" w:rsidP="00F2347D">
      <w:pPr>
        <w:pStyle w:val="EndNoteBibliography"/>
        <w:numPr>
          <w:ilvl w:val="0"/>
          <w:numId w:val="1"/>
        </w:numPr>
        <w:spacing w:line="480" w:lineRule="auto"/>
        <w:rPr>
          <w:rFonts w:ascii="Times New Roman" w:hAnsi="Times New Roman"/>
          <w:sz w:val="22"/>
        </w:rPr>
      </w:pPr>
      <w:r w:rsidRPr="009234CD">
        <w:rPr>
          <w:rFonts w:ascii="Times New Roman" w:hAnsi="Times New Roman"/>
          <w:sz w:val="22"/>
        </w:rPr>
        <w:t>Sessler CN, Gosnell MS, Grap MJ, Brophy GM, O’Neal PV, Keane KA, Tesoro EP, Elswick RK (2002) The Richmond Agitation-Sedation Scale: validity and reliability in adult intensive care unit patients. Am J Respir Crit Care Med 166:1338-1344</w:t>
      </w:r>
    </w:p>
    <w:p w:rsidR="0039092B" w:rsidRPr="009234CD" w:rsidRDefault="002D479C" w:rsidP="00E91D7C">
      <w:pPr>
        <w:pStyle w:val="EndNoteBibliography"/>
        <w:numPr>
          <w:ilvl w:val="0"/>
          <w:numId w:val="1"/>
        </w:numPr>
        <w:spacing w:line="480" w:lineRule="auto"/>
        <w:rPr>
          <w:rFonts w:ascii="Times New Roman" w:hAnsi="Times New Roman"/>
          <w:sz w:val="22"/>
        </w:rPr>
      </w:pPr>
      <w:r w:rsidRPr="009234CD">
        <w:rPr>
          <w:rFonts w:ascii="Times New Roman" w:hAnsi="Times New Roman"/>
          <w:sz w:val="22"/>
        </w:rPr>
        <w:t>Barr J, Fraser GL, Puntillo K, Ely EW, Gélinas C, Dasta JF, Davidson JE, Devlin JW, Kress JP, Joffe AM, Coursin DB, Herr DL, Tung A, Robinson BR, Fontaine DK, Ramsay MA, Riker RR, Sessler CN, Pun B, Skrobik Y, Jaeschke R; American College of Critical Care Medicine (2013) Clinical practice guidelines for the management of pain, agitation, and delirium in adult patients in the intensive care unit.</w:t>
      </w:r>
      <w:r w:rsidR="00F2347D" w:rsidRPr="009234CD">
        <w:rPr>
          <w:rFonts w:ascii="Times New Roman" w:hAnsi="Times New Roman"/>
          <w:sz w:val="22"/>
        </w:rPr>
        <w:t xml:space="preserve"> Crit Care Med 41:263-306 </w:t>
      </w:r>
    </w:p>
    <w:p w:rsidR="0039092B" w:rsidRDefault="0039092B" w:rsidP="005E1A32">
      <w:pPr>
        <w:jc w:val="left"/>
        <w:rPr>
          <w:rFonts w:ascii="Times New Roman" w:hAnsi="Times New Roman" w:cs="Times New Roman"/>
          <w:sz w:val="22"/>
        </w:rPr>
      </w:pPr>
    </w:p>
    <w:p w:rsidR="002D479C" w:rsidRPr="002D479C" w:rsidRDefault="002D479C" w:rsidP="005E1A32">
      <w:pPr>
        <w:jc w:val="left"/>
        <w:rPr>
          <w:rFonts w:ascii="Times New Roman" w:hAnsi="Times New Roman" w:cs="Times New Roman"/>
          <w:sz w:val="22"/>
        </w:rPr>
      </w:pPr>
    </w:p>
    <w:p w:rsidR="0039092B" w:rsidRDefault="00D743D9">
      <w:pPr>
        <w:jc w:val="left"/>
        <w:rPr>
          <w:rFonts w:ascii="Times New Roman" w:hAnsi="Times New Roman" w:cs="Times New Roman"/>
          <w:sz w:val="22"/>
        </w:rPr>
      </w:pPr>
      <w:r>
        <w:rPr>
          <w:rFonts w:ascii="Times New Roman" w:hAnsi="Times New Roman" w:cs="Times New Roman"/>
          <w:sz w:val="22"/>
        </w:rPr>
        <w:br w:type="page"/>
      </w:r>
    </w:p>
    <w:p w:rsidR="00D743D9" w:rsidRPr="00BC751E" w:rsidRDefault="00D743D9" w:rsidP="00D743D9">
      <w:pPr>
        <w:widowControl/>
        <w:jc w:val="left"/>
        <w:rPr>
          <w:rFonts w:ascii="Times New Roman" w:hAnsi="Times New Roman"/>
          <w:b/>
          <w:sz w:val="22"/>
        </w:rPr>
      </w:pPr>
      <w:r w:rsidRPr="00BC751E">
        <w:rPr>
          <w:rFonts w:ascii="Times New Roman" w:hAnsi="Times New Roman"/>
          <w:b/>
          <w:sz w:val="22"/>
        </w:rPr>
        <w:lastRenderedPageBreak/>
        <w:t>Table</w:t>
      </w:r>
      <w:r w:rsidR="004B2288" w:rsidRPr="00BC751E">
        <w:rPr>
          <w:rFonts w:ascii="Times New Roman" w:hAnsi="Times New Roman"/>
          <w:b/>
          <w:sz w:val="22"/>
        </w:rPr>
        <w:t xml:space="preserve"> </w:t>
      </w:r>
      <w:r w:rsidR="00BC751E" w:rsidRPr="00BC751E">
        <w:rPr>
          <w:rFonts w:ascii="Times New Roman" w:hAnsi="Times New Roman"/>
          <w:b/>
          <w:sz w:val="22"/>
        </w:rPr>
        <w:t>S</w:t>
      </w:r>
      <w:r w:rsidR="004B2288" w:rsidRPr="00BC751E">
        <w:rPr>
          <w:rFonts w:ascii="Times New Roman" w:hAnsi="Times New Roman"/>
          <w:b/>
          <w:sz w:val="22"/>
        </w:rPr>
        <w:t>1</w:t>
      </w:r>
      <w:r w:rsidRPr="00BC751E">
        <w:rPr>
          <w:rFonts w:ascii="Times New Roman" w:hAnsi="Times New Roman"/>
          <w:b/>
          <w:sz w:val="22"/>
        </w:rPr>
        <w:t xml:space="preserve">: Scoring system for </w:t>
      </w:r>
      <w:r w:rsidR="00DF41EB" w:rsidRPr="00BC751E">
        <w:rPr>
          <w:rFonts w:ascii="Times New Roman" w:hAnsi="Times New Roman"/>
          <w:b/>
          <w:sz w:val="22"/>
        </w:rPr>
        <w:t>DIC</w:t>
      </w:r>
      <w:r w:rsidRPr="00BC751E">
        <w:rPr>
          <w:rFonts w:ascii="Times New Roman" w:hAnsi="Times New Roman"/>
          <w:b/>
          <w:sz w:val="22"/>
        </w:rPr>
        <w:t xml:space="preserve">  </w:t>
      </w:r>
    </w:p>
    <w:p w:rsidR="00BC751E" w:rsidRPr="00D743D9" w:rsidRDefault="00BC751E" w:rsidP="00D743D9">
      <w:pPr>
        <w:widowControl/>
        <w:jc w:val="left"/>
        <w:rPr>
          <w:rFonts w:ascii="Times New Roman" w:hAnsi="Times New Roman"/>
          <w:sz w:val="22"/>
        </w:rPr>
      </w:pPr>
    </w:p>
    <w:tbl>
      <w:tblPr>
        <w:tblW w:w="8364" w:type="dxa"/>
        <w:tblCellMar>
          <w:left w:w="99" w:type="dxa"/>
          <w:right w:w="99" w:type="dxa"/>
        </w:tblCellMar>
        <w:tblLook w:val="04A0" w:firstRow="1" w:lastRow="0" w:firstColumn="1" w:lastColumn="0" w:noHBand="0" w:noVBand="1"/>
      </w:tblPr>
      <w:tblGrid>
        <w:gridCol w:w="6663"/>
        <w:gridCol w:w="1701"/>
      </w:tblGrid>
      <w:tr w:rsidR="00D743D9" w:rsidRPr="00D743D9" w:rsidTr="00FA54FD">
        <w:trPr>
          <w:trHeight w:val="330"/>
        </w:trPr>
        <w:tc>
          <w:tcPr>
            <w:tcW w:w="6663" w:type="dxa"/>
            <w:tcBorders>
              <w:top w:val="single" w:sz="8" w:space="0" w:color="000000"/>
              <w:left w:val="nil"/>
              <w:bottom w:val="single" w:sz="8" w:space="0" w:color="000000"/>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 xml:space="preserve">　</w:t>
            </w:r>
          </w:p>
        </w:tc>
        <w:tc>
          <w:tcPr>
            <w:tcW w:w="1701" w:type="dxa"/>
            <w:tcBorders>
              <w:top w:val="single" w:sz="8" w:space="0" w:color="000000"/>
              <w:left w:val="nil"/>
              <w:bottom w:val="single" w:sz="8" w:space="0" w:color="000000"/>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Score</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Systemic inflammatory response syndrome criteria</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kern w:val="0"/>
                <w:sz w:val="22"/>
              </w:rPr>
            </w:pPr>
            <w:r w:rsidRPr="00D743D9">
              <w:rPr>
                <w:rFonts w:ascii="Times New Roman" w:eastAsia="ＭＳ Ｐゴシック" w:hAnsi="Times New Roman"/>
                <w:kern w:val="0"/>
                <w:sz w:val="22"/>
              </w:rPr>
              <w:t xml:space="preserve">　</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≥3</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0-2</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0</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Platelet count (10</w:t>
            </w:r>
            <w:r w:rsidRPr="00D743D9">
              <w:rPr>
                <w:rFonts w:ascii="Times New Roman" w:eastAsia="ＭＳ Ｐゴシック" w:hAnsi="Times New Roman"/>
                <w:color w:val="000000"/>
                <w:kern w:val="0"/>
                <w:sz w:val="22"/>
                <w:vertAlign w:val="superscript"/>
              </w:rPr>
              <w:t>9</w:t>
            </w:r>
            <w:r w:rsidRPr="00D743D9">
              <w:rPr>
                <w:rFonts w:ascii="Times New Roman" w:eastAsia="ＭＳ Ｐゴシック" w:hAnsi="Times New Roman"/>
                <w:color w:val="000000"/>
                <w:kern w:val="0"/>
                <w:sz w:val="22"/>
              </w:rPr>
              <w:t>/L)</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&lt;80 or 50% decrease within 24 hrs</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3</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≥80 and &lt;120 or &gt;30% decrease within 24hrs</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≥120</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0</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Prothrombin time (value of patient/ normal value)</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≥1.2</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&lt;1.2</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0</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Fibrin/fibrinogen degradation products (mg/L)</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≥25</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3</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 xml:space="preserve">≥10 and &lt;25 </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1</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&lt;10</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0</w:t>
            </w:r>
          </w:p>
        </w:tc>
      </w:tr>
      <w:tr w:rsidR="00D743D9" w:rsidRPr="00D743D9" w:rsidTr="00FA54FD">
        <w:trPr>
          <w:trHeight w:val="315"/>
        </w:trPr>
        <w:tc>
          <w:tcPr>
            <w:tcW w:w="6663"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Diagnosis</w:t>
            </w:r>
          </w:p>
        </w:tc>
        <w:tc>
          <w:tcPr>
            <w:tcW w:w="1701" w:type="dxa"/>
            <w:tcBorders>
              <w:top w:val="nil"/>
              <w:left w:val="nil"/>
              <w:bottom w:val="nil"/>
              <w:right w:val="nil"/>
            </w:tcBorders>
            <w:shd w:val="clear" w:color="auto" w:fill="auto"/>
            <w:vAlign w:val="center"/>
            <w:hideMark/>
          </w:tcPr>
          <w:p w:rsidR="00D743D9" w:rsidRPr="00D743D9" w:rsidRDefault="00D743D9" w:rsidP="00FA54FD">
            <w:pPr>
              <w:widowControl/>
              <w:jc w:val="left"/>
              <w:rPr>
                <w:rFonts w:ascii="Times New Roman" w:eastAsia="ＭＳ Ｐゴシック" w:hAnsi="Times New Roman"/>
                <w:color w:val="000000"/>
                <w:kern w:val="0"/>
                <w:sz w:val="22"/>
              </w:rPr>
            </w:pPr>
          </w:p>
        </w:tc>
      </w:tr>
      <w:tr w:rsidR="00D743D9" w:rsidRPr="00D743D9" w:rsidTr="00FA54FD">
        <w:trPr>
          <w:trHeight w:val="330"/>
        </w:trPr>
        <w:tc>
          <w:tcPr>
            <w:tcW w:w="6663" w:type="dxa"/>
            <w:tcBorders>
              <w:top w:val="nil"/>
              <w:left w:val="nil"/>
              <w:bottom w:val="single" w:sz="8" w:space="0" w:color="000000"/>
              <w:right w:val="nil"/>
            </w:tcBorders>
            <w:shd w:val="clear" w:color="auto" w:fill="auto"/>
            <w:vAlign w:val="center"/>
            <w:hideMark/>
          </w:tcPr>
          <w:p w:rsidR="00D743D9" w:rsidRPr="00D743D9" w:rsidRDefault="00D743D9" w:rsidP="00FA54FD">
            <w:pPr>
              <w:widowControl/>
              <w:ind w:firstLineChars="142" w:firstLine="312"/>
              <w:jc w:val="left"/>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Four points or more</w:t>
            </w:r>
          </w:p>
        </w:tc>
        <w:tc>
          <w:tcPr>
            <w:tcW w:w="1701" w:type="dxa"/>
            <w:tcBorders>
              <w:top w:val="nil"/>
              <w:left w:val="nil"/>
              <w:bottom w:val="single" w:sz="8" w:space="0" w:color="000000"/>
              <w:right w:val="nil"/>
            </w:tcBorders>
            <w:shd w:val="clear" w:color="auto" w:fill="auto"/>
            <w:vAlign w:val="center"/>
            <w:hideMark/>
          </w:tcPr>
          <w:p w:rsidR="00D743D9" w:rsidRPr="00D743D9" w:rsidRDefault="00D743D9" w:rsidP="00FA54FD">
            <w:pPr>
              <w:widowControl/>
              <w:jc w:val="center"/>
              <w:rPr>
                <w:rFonts w:ascii="Times New Roman" w:eastAsia="ＭＳ Ｐゴシック" w:hAnsi="Times New Roman"/>
                <w:color w:val="000000"/>
                <w:kern w:val="0"/>
                <w:sz w:val="22"/>
              </w:rPr>
            </w:pPr>
            <w:r w:rsidRPr="00D743D9">
              <w:rPr>
                <w:rFonts w:ascii="Times New Roman" w:eastAsia="ＭＳ Ｐゴシック" w:hAnsi="Times New Roman"/>
                <w:color w:val="000000"/>
                <w:kern w:val="0"/>
                <w:sz w:val="22"/>
              </w:rPr>
              <w:t>DIC</w:t>
            </w:r>
          </w:p>
        </w:tc>
      </w:tr>
    </w:tbl>
    <w:p w:rsidR="00DF41EB" w:rsidRDefault="00DF41EB">
      <w:pPr>
        <w:jc w:val="left"/>
        <w:rPr>
          <w:rFonts w:ascii="Times New Roman" w:hAnsi="Times New Roman"/>
          <w:sz w:val="20"/>
          <w:szCs w:val="20"/>
        </w:rPr>
      </w:pPr>
      <w:r w:rsidRPr="004B2288">
        <w:rPr>
          <w:rFonts w:ascii="Times New Roman" w:hAnsi="Times New Roman"/>
          <w:sz w:val="22"/>
        </w:rPr>
        <w:t>Abbreviations:</w:t>
      </w:r>
      <w:r>
        <w:rPr>
          <w:rFonts w:ascii="Times New Roman" w:hAnsi="Times New Roman"/>
          <w:sz w:val="22"/>
        </w:rPr>
        <w:t xml:space="preserve"> </w:t>
      </w:r>
      <w:r w:rsidRPr="004B2288">
        <w:rPr>
          <w:rFonts w:ascii="Times New Roman" w:eastAsia="ＭＳ Ｐゴシック" w:hAnsi="Times New Roman"/>
          <w:kern w:val="0"/>
          <w:sz w:val="22"/>
        </w:rPr>
        <w:t xml:space="preserve">DIC, </w:t>
      </w:r>
      <w:r w:rsidRPr="004B2288">
        <w:rPr>
          <w:rFonts w:ascii="Times New Roman" w:hAnsi="Times New Roman"/>
          <w:sz w:val="22"/>
        </w:rPr>
        <w:t>disseminated intravascular coagulation</w:t>
      </w:r>
    </w:p>
    <w:p w:rsidR="00DF41EB" w:rsidRDefault="00DF41EB">
      <w:pPr>
        <w:jc w:val="left"/>
        <w:rPr>
          <w:rFonts w:ascii="Times New Roman" w:hAnsi="Times New Roman"/>
          <w:sz w:val="20"/>
          <w:szCs w:val="20"/>
        </w:rPr>
      </w:pPr>
    </w:p>
    <w:p w:rsidR="00DF41EB" w:rsidRDefault="00D743D9">
      <w:pPr>
        <w:jc w:val="left"/>
        <w:rPr>
          <w:rFonts w:ascii="Times New Roman" w:hAnsi="Times New Roman"/>
          <w:sz w:val="20"/>
          <w:szCs w:val="20"/>
        </w:rPr>
      </w:pPr>
      <w:r w:rsidRPr="00171BC9">
        <w:rPr>
          <w:rFonts w:ascii="Times New Roman" w:hAnsi="Times New Roman"/>
          <w:sz w:val="20"/>
          <w:szCs w:val="20"/>
        </w:rPr>
        <w:br w:type="page"/>
      </w:r>
    </w:p>
    <w:p w:rsidR="009F10C5" w:rsidRDefault="009F10C5">
      <w:pPr>
        <w:jc w:val="left"/>
        <w:rPr>
          <w:rFonts w:ascii="Times New Roman" w:hAnsi="Times New Roman"/>
          <w:b/>
          <w:sz w:val="22"/>
        </w:rPr>
      </w:pPr>
      <w:r w:rsidRPr="00BC751E">
        <w:rPr>
          <w:rFonts w:ascii="Times New Roman" w:hAnsi="Times New Roman"/>
          <w:b/>
          <w:sz w:val="22"/>
        </w:rPr>
        <w:lastRenderedPageBreak/>
        <w:t xml:space="preserve">Table </w:t>
      </w:r>
      <w:r w:rsidR="00BC751E" w:rsidRPr="00BC751E">
        <w:rPr>
          <w:rFonts w:ascii="Times New Roman" w:hAnsi="Times New Roman"/>
          <w:b/>
          <w:sz w:val="22"/>
        </w:rPr>
        <w:t>S</w:t>
      </w:r>
      <w:r w:rsidRPr="00BC751E">
        <w:rPr>
          <w:rFonts w:ascii="Times New Roman" w:hAnsi="Times New Roman"/>
          <w:b/>
          <w:sz w:val="22"/>
        </w:rPr>
        <w:t>2:</w:t>
      </w:r>
      <w:r w:rsidR="00DF41EB" w:rsidRPr="00BC751E">
        <w:rPr>
          <w:rFonts w:ascii="Times New Roman" w:hAnsi="Times New Roman"/>
          <w:b/>
          <w:sz w:val="22"/>
        </w:rPr>
        <w:t xml:space="preserve"> Changes in</w:t>
      </w:r>
      <w:r w:rsidRPr="00BC751E">
        <w:rPr>
          <w:rFonts w:ascii="Times New Roman" w:hAnsi="Times New Roman"/>
          <w:b/>
          <w:sz w:val="22"/>
        </w:rPr>
        <w:t xml:space="preserve"> DIC and DIC-associated variables</w:t>
      </w:r>
    </w:p>
    <w:p w:rsidR="00BC751E" w:rsidRPr="00BC751E" w:rsidRDefault="00BC751E">
      <w:pPr>
        <w:jc w:val="left"/>
        <w:rPr>
          <w:rFonts w:ascii="Times New Roman" w:hAnsi="Times New Roman"/>
          <w:b/>
          <w:sz w:val="22"/>
        </w:rPr>
      </w:pPr>
    </w:p>
    <w:tbl>
      <w:tblPr>
        <w:tblW w:w="8222" w:type="dxa"/>
        <w:tblCellMar>
          <w:left w:w="99" w:type="dxa"/>
          <w:right w:w="99" w:type="dxa"/>
        </w:tblCellMar>
        <w:tblLook w:val="04A0" w:firstRow="1" w:lastRow="0" w:firstColumn="1" w:lastColumn="0" w:noHBand="0" w:noVBand="1"/>
      </w:tblPr>
      <w:tblGrid>
        <w:gridCol w:w="2977"/>
        <w:gridCol w:w="1418"/>
        <w:gridCol w:w="1984"/>
        <w:gridCol w:w="1843"/>
      </w:tblGrid>
      <w:tr w:rsidR="004B2288" w:rsidRPr="004B2288" w:rsidTr="003C6739">
        <w:trPr>
          <w:trHeight w:val="285"/>
        </w:trPr>
        <w:tc>
          <w:tcPr>
            <w:tcW w:w="2977" w:type="dxa"/>
            <w:tcBorders>
              <w:top w:val="single" w:sz="8" w:space="0" w:color="auto"/>
              <w:left w:val="nil"/>
              <w:bottom w:val="single" w:sz="8" w:space="0" w:color="auto"/>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Variable</w:t>
            </w:r>
          </w:p>
        </w:tc>
        <w:tc>
          <w:tcPr>
            <w:tcW w:w="1418" w:type="dxa"/>
            <w:tcBorders>
              <w:top w:val="single" w:sz="8" w:space="0" w:color="auto"/>
              <w:left w:val="nil"/>
              <w:bottom w:val="single" w:sz="8" w:space="0" w:color="auto"/>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DEX group</w:t>
            </w:r>
          </w:p>
        </w:tc>
        <w:tc>
          <w:tcPr>
            <w:tcW w:w="1984" w:type="dxa"/>
            <w:tcBorders>
              <w:top w:val="single" w:sz="8" w:space="0" w:color="auto"/>
              <w:left w:val="nil"/>
              <w:bottom w:val="single" w:sz="8" w:space="0" w:color="auto"/>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non-DEX group</w:t>
            </w:r>
          </w:p>
        </w:tc>
        <w:tc>
          <w:tcPr>
            <w:tcW w:w="1843" w:type="dxa"/>
            <w:tcBorders>
              <w:top w:val="single" w:sz="8" w:space="0" w:color="auto"/>
              <w:left w:val="nil"/>
              <w:bottom w:val="single" w:sz="8" w:space="0" w:color="auto"/>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P-value</w:t>
            </w:r>
          </w:p>
        </w:tc>
      </w:tr>
      <w:tr w:rsidR="004B2288" w:rsidRPr="004B2288" w:rsidTr="003C6739">
        <w:trPr>
          <w:trHeight w:val="315"/>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PLT count ×10</w:t>
            </w:r>
            <w:r w:rsidRPr="004B2288">
              <w:rPr>
                <w:rFonts w:ascii="Times New Roman" w:eastAsia="ＭＳ Ｐゴシック" w:hAnsi="Times New Roman"/>
                <w:kern w:val="0"/>
                <w:sz w:val="22"/>
                <w:vertAlign w:val="superscript"/>
              </w:rPr>
              <w:t>9</w:t>
            </w:r>
            <w:r w:rsidRPr="004B2288">
              <w:rPr>
                <w:rFonts w:ascii="Times New Roman" w:eastAsia="ＭＳ Ｐゴシック" w:hAnsi="Times New Roman"/>
                <w:kern w:val="0"/>
                <w:sz w:val="22"/>
              </w:rPr>
              <w:t>, mean (SD)</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c>
          <w:tcPr>
            <w:tcW w:w="1843"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178 (114)</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163 (100)</w:t>
            </w:r>
          </w:p>
        </w:tc>
        <w:tc>
          <w:tcPr>
            <w:tcW w:w="1843" w:type="dxa"/>
            <w:vMerge w:val="restart"/>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0.72</w:t>
            </w: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133 (92)</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127 (83)</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116 (94)</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104 (85)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6</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138 (99)</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128 (96)</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8</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188 (125)</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178 (115)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10</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245 (159)</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222 (121)</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300 (196)</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253 (142)</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317 (193)</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299 (160)</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PT-INR, mean (SD)</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c>
          <w:tcPr>
            <w:tcW w:w="1843"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1.29 (0.37)</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1.36 (0.50)</w:t>
            </w:r>
          </w:p>
        </w:tc>
        <w:tc>
          <w:tcPr>
            <w:tcW w:w="1843" w:type="dxa"/>
            <w:vMerge w:val="restart"/>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0.03</w:t>
            </w: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1.38 (0.43)</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1.48 (0.95)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1.18 (0.25)</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1.28 (0.55)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6</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1.16 (0.18)</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1.21 (0.44)</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8</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1.18 (0.23)</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1.22 (0.31)</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10</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1.17 (0.25)</w:t>
            </w:r>
          </w:p>
        </w:tc>
        <w:tc>
          <w:tcPr>
            <w:tcW w:w="1984" w:type="dxa"/>
            <w:tcBorders>
              <w:top w:val="nil"/>
              <w:left w:val="nil"/>
              <w:bottom w:val="nil"/>
              <w:right w:val="nil"/>
            </w:tcBorders>
            <w:shd w:val="clear" w:color="auto" w:fill="auto"/>
            <w:noWrap/>
            <w:vAlign w:val="center"/>
            <w:hideMark/>
          </w:tcPr>
          <w:p w:rsidR="009F10C5" w:rsidRPr="004B2288" w:rsidRDefault="00F039AE" w:rsidP="00F039AE">
            <w:pPr>
              <w:widowControl/>
              <w:jc w:val="center"/>
              <w:rPr>
                <w:rFonts w:ascii="Times New Roman" w:eastAsia="ＭＳ Ｐゴシック" w:hAnsi="Times New Roman"/>
                <w:kern w:val="0"/>
                <w:sz w:val="22"/>
              </w:rPr>
            </w:pPr>
            <w:r>
              <w:rPr>
                <w:rFonts w:ascii="Times New Roman" w:eastAsia="ＭＳ Ｐゴシック" w:hAnsi="Times New Roman"/>
                <w:kern w:val="0"/>
                <w:sz w:val="22"/>
              </w:rPr>
              <w:t xml:space="preserve">1.24 </w:t>
            </w:r>
            <w:r>
              <w:rPr>
                <w:rFonts w:ascii="Times New Roman" w:eastAsia="ＭＳ Ｐゴシック" w:hAnsi="Times New Roman" w:hint="eastAsia"/>
                <w:kern w:val="0"/>
                <w:sz w:val="22"/>
              </w:rPr>
              <w:t>(</w:t>
            </w:r>
            <w:r w:rsidR="009F10C5" w:rsidRPr="002F2853">
              <w:rPr>
                <w:rFonts w:ascii="Times New Roman" w:eastAsia="ＭＳ Ｐゴシック" w:hAnsi="Times New Roman"/>
                <w:color w:val="FF0000"/>
                <w:kern w:val="0"/>
                <w:sz w:val="22"/>
              </w:rPr>
              <w:t>0.4</w:t>
            </w:r>
            <w:r w:rsidR="00FD3E16" w:rsidRPr="002F2853">
              <w:rPr>
                <w:rFonts w:ascii="Times New Roman" w:eastAsia="ＭＳ Ｐゴシック" w:hAnsi="Times New Roman" w:hint="eastAsia"/>
                <w:color w:val="FF0000"/>
                <w:kern w:val="0"/>
                <w:sz w:val="22"/>
              </w:rPr>
              <w:t>0</w:t>
            </w:r>
            <w:r w:rsidR="009F10C5" w:rsidRPr="004B2288">
              <w:rPr>
                <w:rFonts w:ascii="Times New Roman" w:eastAsia="ＭＳ Ｐゴシック" w:hAnsi="Times New Roman"/>
                <w:kern w:val="0"/>
                <w:sz w:val="22"/>
              </w:rPr>
              <w:t>)</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1.14 (0.15)</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1.27 (0.41)</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1.13 (0.16)</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1.28 (0.54)</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FDPs (mcg/mL), mean (SD)</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c>
          <w:tcPr>
            <w:tcW w:w="1843"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30.7 (43.6)</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51.7 (142.1)</w:t>
            </w:r>
          </w:p>
        </w:tc>
        <w:tc>
          <w:tcPr>
            <w:tcW w:w="1843" w:type="dxa"/>
            <w:vMerge w:val="restart"/>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0.40</w:t>
            </w: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29.2 (33.0)</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42.5 (109.5)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34.3 (48.5)</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29.8 (44.6)</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6</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27.7 (29.0)</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35.7 (57.1)</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8</w:t>
            </w:r>
          </w:p>
        </w:tc>
        <w:tc>
          <w:tcPr>
            <w:tcW w:w="1418" w:type="dxa"/>
            <w:tcBorders>
              <w:top w:val="nil"/>
              <w:left w:val="nil"/>
              <w:bottom w:val="nil"/>
              <w:right w:val="nil"/>
            </w:tcBorders>
            <w:shd w:val="clear" w:color="auto" w:fill="auto"/>
            <w:noWrap/>
            <w:vAlign w:val="center"/>
            <w:hideMark/>
          </w:tcPr>
          <w:p w:rsidR="009F10C5" w:rsidRPr="004B2288" w:rsidRDefault="00F63188" w:rsidP="003C6739">
            <w:pPr>
              <w:widowControl/>
              <w:jc w:val="center"/>
              <w:rPr>
                <w:rFonts w:ascii="Times New Roman" w:eastAsia="ＭＳ Ｐゴシック" w:hAnsi="Times New Roman"/>
                <w:kern w:val="0"/>
                <w:sz w:val="22"/>
              </w:rPr>
            </w:pPr>
            <w:r w:rsidRPr="002F2853">
              <w:rPr>
                <w:rFonts w:ascii="Times New Roman" w:eastAsia="ＭＳ Ｐゴシック" w:hAnsi="Times New Roman"/>
                <w:color w:val="FF0000"/>
                <w:kern w:val="0"/>
                <w:sz w:val="22"/>
              </w:rPr>
              <w:t>2</w:t>
            </w:r>
            <w:r w:rsidRPr="002F2853">
              <w:rPr>
                <w:rFonts w:ascii="Times New Roman" w:eastAsia="ＭＳ Ｐゴシック" w:hAnsi="Times New Roman" w:hint="eastAsia"/>
                <w:color w:val="FF0000"/>
                <w:kern w:val="0"/>
                <w:sz w:val="22"/>
              </w:rPr>
              <w:t>7.4</w:t>
            </w:r>
            <w:r w:rsidRPr="002F2853">
              <w:rPr>
                <w:rFonts w:ascii="Times New Roman" w:eastAsia="ＭＳ Ｐゴシック" w:hAnsi="Times New Roman"/>
                <w:color w:val="FF0000"/>
                <w:kern w:val="0"/>
                <w:sz w:val="22"/>
              </w:rPr>
              <w:t xml:space="preserve"> (2</w:t>
            </w:r>
            <w:r w:rsidRPr="002F2853">
              <w:rPr>
                <w:rFonts w:ascii="Times New Roman" w:eastAsia="ＭＳ Ｐゴシック" w:hAnsi="Times New Roman" w:hint="eastAsia"/>
                <w:color w:val="FF0000"/>
                <w:kern w:val="0"/>
                <w:sz w:val="22"/>
              </w:rPr>
              <w:t>6</w:t>
            </w:r>
            <w:r w:rsidR="009F10C5" w:rsidRPr="002F2853">
              <w:rPr>
                <w:rFonts w:ascii="Times New Roman" w:eastAsia="ＭＳ Ｐゴシック" w:hAnsi="Times New Roman"/>
                <w:color w:val="FF0000"/>
                <w:kern w:val="0"/>
                <w:sz w:val="22"/>
              </w:rPr>
              <w:t>.5)</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30.8 (33.5)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10</w:t>
            </w:r>
          </w:p>
        </w:tc>
        <w:tc>
          <w:tcPr>
            <w:tcW w:w="1418" w:type="dxa"/>
            <w:tcBorders>
              <w:top w:val="nil"/>
              <w:left w:val="nil"/>
              <w:bottom w:val="nil"/>
              <w:right w:val="nil"/>
            </w:tcBorders>
            <w:shd w:val="clear" w:color="auto" w:fill="auto"/>
            <w:noWrap/>
            <w:vAlign w:val="center"/>
            <w:hideMark/>
          </w:tcPr>
          <w:p w:rsidR="009F10C5" w:rsidRPr="004B2288" w:rsidRDefault="00F63188" w:rsidP="003C6739">
            <w:pPr>
              <w:widowControl/>
              <w:jc w:val="center"/>
              <w:rPr>
                <w:rFonts w:ascii="Times New Roman" w:eastAsia="ＭＳ Ｐゴシック" w:hAnsi="Times New Roman"/>
                <w:kern w:val="0"/>
                <w:sz w:val="22"/>
              </w:rPr>
            </w:pPr>
            <w:r w:rsidRPr="00F63188">
              <w:rPr>
                <w:rFonts w:ascii="Times New Roman" w:eastAsia="ＭＳ Ｐゴシック" w:hAnsi="Times New Roman"/>
                <w:color w:val="FF0000"/>
                <w:kern w:val="0"/>
                <w:sz w:val="22"/>
              </w:rPr>
              <w:t>2</w:t>
            </w:r>
            <w:r w:rsidRPr="00F63188">
              <w:rPr>
                <w:rFonts w:ascii="Times New Roman" w:eastAsia="ＭＳ Ｐゴシック" w:hAnsi="Times New Roman" w:hint="eastAsia"/>
                <w:color w:val="FF0000"/>
                <w:kern w:val="0"/>
                <w:sz w:val="22"/>
              </w:rPr>
              <w:t>4</w:t>
            </w:r>
            <w:r w:rsidRPr="00F63188">
              <w:rPr>
                <w:rFonts w:ascii="Times New Roman" w:eastAsia="ＭＳ Ｐゴシック" w:hAnsi="Times New Roman"/>
                <w:color w:val="FF0000"/>
                <w:kern w:val="0"/>
                <w:sz w:val="22"/>
              </w:rPr>
              <w:t>.</w:t>
            </w:r>
            <w:r w:rsidRPr="00F63188">
              <w:rPr>
                <w:rFonts w:ascii="Times New Roman" w:eastAsia="ＭＳ Ｐゴシック" w:hAnsi="Times New Roman" w:hint="eastAsia"/>
                <w:color w:val="FF0000"/>
                <w:kern w:val="0"/>
                <w:sz w:val="22"/>
              </w:rPr>
              <w:t>2</w:t>
            </w:r>
            <w:r w:rsidR="009F10C5" w:rsidRPr="00F63188">
              <w:rPr>
                <w:rFonts w:ascii="Times New Roman" w:eastAsia="ＭＳ Ｐゴシック" w:hAnsi="Times New Roman"/>
                <w:color w:val="FF0000"/>
                <w:kern w:val="0"/>
                <w:sz w:val="22"/>
              </w:rPr>
              <w:t xml:space="preserve"> (</w:t>
            </w:r>
            <w:r w:rsidRPr="00F63188">
              <w:rPr>
                <w:rFonts w:ascii="Times New Roman" w:eastAsia="ＭＳ Ｐゴシック" w:hAnsi="Times New Roman" w:hint="eastAsia"/>
                <w:color w:val="FF0000"/>
                <w:kern w:val="0"/>
                <w:sz w:val="22"/>
              </w:rPr>
              <w:t>23.5</w:t>
            </w:r>
            <w:r w:rsidR="009F10C5" w:rsidRPr="00F63188">
              <w:rPr>
                <w:rFonts w:ascii="Times New Roman" w:eastAsia="ＭＳ Ｐゴシック" w:hAnsi="Times New Roman"/>
                <w:color w:val="FF0000"/>
                <w:kern w:val="0"/>
                <w:sz w:val="22"/>
              </w:rPr>
              <w:t>)</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24.2 (19.9)</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 xml:space="preserve">23.7 (26.0) </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20.3 (14.7)</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22.9 (24.7)</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19.1 (13.5)</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≥3 SIRS characteristics, n (%)</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c>
          <w:tcPr>
            <w:tcW w:w="1843"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Times New Roman"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71 (71)</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75 (74)</w:t>
            </w:r>
          </w:p>
        </w:tc>
        <w:tc>
          <w:tcPr>
            <w:tcW w:w="1843" w:type="dxa"/>
            <w:vMerge w:val="restart"/>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0.15</w:t>
            </w: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52 (54)</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54 (56)</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26 (31)</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32 (37)</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6</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16 (26)</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21 (31)</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8</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 (20)</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18 (29)</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lastRenderedPageBreak/>
              <w:t>Day 10</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9 (18)</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16 (32)</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lastRenderedPageBreak/>
              <w:t>Day 12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7 (19)</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 (26)</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4 (12)</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7 (19)</w:t>
            </w:r>
          </w:p>
        </w:tc>
        <w:tc>
          <w:tcPr>
            <w:tcW w:w="1843" w:type="dxa"/>
            <w:vMerge/>
            <w:tcBorders>
              <w:top w:val="nil"/>
              <w:left w:val="nil"/>
              <w:bottom w:val="nil"/>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r w:rsidRPr="004B2288">
              <w:rPr>
                <w:rFonts w:ascii="Times New Roman" w:eastAsia="ＭＳ Ｐゴシック" w:hAnsi="Times New Roman"/>
                <w:kern w:val="0"/>
                <w:sz w:val="22"/>
              </w:rPr>
              <w:t>DIC, n (%)</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left"/>
              <w:rPr>
                <w:rFonts w:ascii="Times New Roman" w:eastAsia="ＭＳ Ｐゴシック" w:hAnsi="Times New Roman"/>
                <w:kern w:val="0"/>
                <w:sz w:val="22"/>
              </w:rPr>
            </w:pP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Times New Roman" w:hAnsi="Times New Roman"/>
                <w:kern w:val="0"/>
                <w:sz w:val="22"/>
              </w:rPr>
            </w:pPr>
          </w:p>
        </w:tc>
        <w:tc>
          <w:tcPr>
            <w:tcW w:w="1843" w:type="dxa"/>
            <w:tcBorders>
              <w:top w:val="nil"/>
              <w:left w:val="nil"/>
              <w:bottom w:val="nil"/>
              <w:right w:val="nil"/>
            </w:tcBorders>
            <w:shd w:val="clear" w:color="auto" w:fill="auto"/>
            <w:vAlign w:val="center"/>
            <w:hideMark/>
          </w:tcPr>
          <w:p w:rsidR="009F10C5" w:rsidRPr="004B2288" w:rsidRDefault="009F10C5" w:rsidP="003C6739">
            <w:pPr>
              <w:widowControl/>
              <w:jc w:val="center"/>
              <w:rPr>
                <w:rFonts w:ascii="Times New Roman" w:eastAsia="Times New Roman"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40 (40)</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42 (42)</w:t>
            </w:r>
          </w:p>
        </w:tc>
        <w:tc>
          <w:tcPr>
            <w:tcW w:w="1843" w:type="dxa"/>
            <w:vMerge w:val="restart"/>
            <w:tcBorders>
              <w:top w:val="nil"/>
              <w:left w:val="nil"/>
              <w:bottom w:val="single" w:sz="8" w:space="0" w:color="000000"/>
              <w:right w:val="nil"/>
            </w:tcBorders>
            <w:shd w:val="clear" w:color="auto" w:fill="auto"/>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0.49</w:t>
            </w: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50 (52)</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57 (59)</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4</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50 (59)</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48 (56)</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6</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28 (46)</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34 (50)</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8</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20 (38)</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29 (48)</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10</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18 (37)</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18 (37)</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70"/>
        </w:trPr>
        <w:tc>
          <w:tcPr>
            <w:tcW w:w="2977" w:type="dxa"/>
            <w:tcBorders>
              <w:top w:val="nil"/>
              <w:left w:val="nil"/>
              <w:bottom w:val="nil"/>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12</w:t>
            </w:r>
          </w:p>
        </w:tc>
        <w:tc>
          <w:tcPr>
            <w:tcW w:w="1418"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11 (31)</w:t>
            </w:r>
          </w:p>
        </w:tc>
        <w:tc>
          <w:tcPr>
            <w:tcW w:w="1984" w:type="dxa"/>
            <w:tcBorders>
              <w:top w:val="nil"/>
              <w:left w:val="nil"/>
              <w:bottom w:val="nil"/>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12 (30)</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r w:rsidR="004B2288" w:rsidRPr="004B2288" w:rsidTr="003C6739">
        <w:trPr>
          <w:trHeight w:val="285"/>
        </w:trPr>
        <w:tc>
          <w:tcPr>
            <w:tcW w:w="2977" w:type="dxa"/>
            <w:tcBorders>
              <w:top w:val="nil"/>
              <w:left w:val="nil"/>
              <w:bottom w:val="single" w:sz="8" w:space="0" w:color="auto"/>
              <w:right w:val="nil"/>
            </w:tcBorders>
            <w:shd w:val="clear" w:color="auto" w:fill="auto"/>
            <w:noWrap/>
            <w:vAlign w:val="center"/>
            <w:hideMark/>
          </w:tcPr>
          <w:p w:rsidR="009F10C5" w:rsidRPr="004B2288" w:rsidRDefault="009F10C5" w:rsidP="003C6739">
            <w:pPr>
              <w:widowControl/>
              <w:ind w:firstLineChars="71" w:firstLine="156"/>
              <w:jc w:val="left"/>
              <w:rPr>
                <w:rFonts w:ascii="Times New Roman" w:eastAsia="ＭＳ Ｐゴシック" w:hAnsi="Times New Roman"/>
                <w:kern w:val="0"/>
                <w:sz w:val="22"/>
              </w:rPr>
            </w:pPr>
            <w:r w:rsidRPr="004B2288">
              <w:rPr>
                <w:rFonts w:ascii="Times New Roman" w:eastAsia="ＭＳ Ｐゴシック" w:hAnsi="Times New Roman"/>
                <w:kern w:val="0"/>
                <w:sz w:val="22"/>
              </w:rPr>
              <w:t>Day 14</w:t>
            </w:r>
          </w:p>
        </w:tc>
        <w:tc>
          <w:tcPr>
            <w:tcW w:w="1418" w:type="dxa"/>
            <w:tcBorders>
              <w:top w:val="nil"/>
              <w:left w:val="nil"/>
              <w:bottom w:val="single" w:sz="8" w:space="0" w:color="auto"/>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7 (21)</w:t>
            </w:r>
          </w:p>
        </w:tc>
        <w:tc>
          <w:tcPr>
            <w:tcW w:w="1984" w:type="dxa"/>
            <w:tcBorders>
              <w:top w:val="nil"/>
              <w:left w:val="nil"/>
              <w:bottom w:val="single" w:sz="8" w:space="0" w:color="auto"/>
              <w:right w:val="nil"/>
            </w:tcBorders>
            <w:shd w:val="clear" w:color="auto" w:fill="auto"/>
            <w:noWrap/>
            <w:vAlign w:val="center"/>
            <w:hideMark/>
          </w:tcPr>
          <w:p w:rsidR="009F10C5" w:rsidRPr="004B2288" w:rsidRDefault="009F10C5" w:rsidP="003C6739">
            <w:pPr>
              <w:widowControl/>
              <w:jc w:val="center"/>
              <w:rPr>
                <w:rFonts w:ascii="Times New Roman" w:eastAsia="ＭＳ Ｐゴシック" w:hAnsi="Times New Roman"/>
                <w:kern w:val="0"/>
                <w:sz w:val="22"/>
              </w:rPr>
            </w:pPr>
            <w:r w:rsidRPr="004B2288">
              <w:rPr>
                <w:rFonts w:ascii="Times New Roman" w:eastAsia="ＭＳ Ｐゴシック" w:hAnsi="Times New Roman"/>
                <w:kern w:val="0"/>
                <w:sz w:val="22"/>
              </w:rPr>
              <w:t>6 (17)</w:t>
            </w:r>
          </w:p>
        </w:tc>
        <w:tc>
          <w:tcPr>
            <w:tcW w:w="1843" w:type="dxa"/>
            <w:vMerge/>
            <w:tcBorders>
              <w:top w:val="nil"/>
              <w:left w:val="nil"/>
              <w:bottom w:val="single" w:sz="8" w:space="0" w:color="000000"/>
              <w:right w:val="nil"/>
            </w:tcBorders>
            <w:vAlign w:val="center"/>
            <w:hideMark/>
          </w:tcPr>
          <w:p w:rsidR="009F10C5" w:rsidRPr="004B2288" w:rsidRDefault="009F10C5" w:rsidP="003C6739">
            <w:pPr>
              <w:widowControl/>
              <w:jc w:val="left"/>
              <w:rPr>
                <w:rFonts w:ascii="Times New Roman" w:eastAsia="ＭＳ Ｐゴシック" w:hAnsi="Times New Roman"/>
                <w:kern w:val="0"/>
                <w:sz w:val="22"/>
              </w:rPr>
            </w:pPr>
          </w:p>
        </w:tc>
      </w:tr>
    </w:tbl>
    <w:p w:rsidR="009F10C5" w:rsidRPr="004B2288" w:rsidRDefault="009F10C5" w:rsidP="009F10C5">
      <w:pPr>
        <w:spacing w:line="276" w:lineRule="auto"/>
        <w:jc w:val="left"/>
        <w:rPr>
          <w:rFonts w:ascii="Times New Roman" w:eastAsia="ＭＳ Ｐゴシック" w:hAnsi="Times New Roman"/>
          <w:kern w:val="0"/>
          <w:sz w:val="22"/>
        </w:rPr>
      </w:pPr>
      <w:r w:rsidRPr="004B2288">
        <w:rPr>
          <w:rFonts w:ascii="Times New Roman" w:hAnsi="Times New Roman"/>
          <w:sz w:val="22"/>
        </w:rPr>
        <w:t>Abbreviations:</w:t>
      </w:r>
      <w:r w:rsidRPr="004B2288">
        <w:rPr>
          <w:rFonts w:ascii="Times New Roman" w:eastAsia="ＭＳ Ｐゴシック" w:hAnsi="Times New Roman"/>
          <w:kern w:val="0"/>
          <w:sz w:val="22"/>
        </w:rPr>
        <w:t xml:space="preserve"> DEX, dexmedetomidine DIC, </w:t>
      </w:r>
      <w:r w:rsidRPr="004B2288">
        <w:rPr>
          <w:rFonts w:ascii="Times New Roman" w:hAnsi="Times New Roman"/>
          <w:sz w:val="22"/>
        </w:rPr>
        <w:t>disseminated intravascular coagulation; SD, standard deviation;</w:t>
      </w:r>
      <w:r w:rsidRPr="004B2288">
        <w:rPr>
          <w:rFonts w:ascii="Times New Roman" w:eastAsia="ＭＳ Ｐゴシック" w:hAnsi="Times New Roman"/>
          <w:kern w:val="0"/>
          <w:sz w:val="22"/>
        </w:rPr>
        <w:t xml:space="preserve"> PLT, platelet; PT-INR, prothrombin time-international ratio; FDPs, fibrin/fibrinogen degradation products; SIRS, systemic inflammatory response syndrome</w:t>
      </w:r>
    </w:p>
    <w:p w:rsidR="009F10C5" w:rsidRPr="009F10C5" w:rsidRDefault="009F10C5">
      <w:pPr>
        <w:jc w:val="left"/>
        <w:rPr>
          <w:rFonts w:ascii="Times New Roman" w:hAnsi="Times New Roman"/>
          <w:sz w:val="22"/>
        </w:rPr>
      </w:pPr>
    </w:p>
    <w:p w:rsidR="009F10C5" w:rsidRDefault="009F10C5">
      <w:pPr>
        <w:jc w:val="left"/>
        <w:rPr>
          <w:rFonts w:ascii="Times New Roman" w:hAnsi="Times New Roman"/>
          <w:sz w:val="22"/>
        </w:rPr>
      </w:pPr>
    </w:p>
    <w:p w:rsidR="009F10C5" w:rsidRDefault="009F10C5">
      <w:pPr>
        <w:jc w:val="left"/>
        <w:rPr>
          <w:rFonts w:ascii="Times New Roman" w:hAnsi="Times New Roman"/>
          <w:sz w:val="22"/>
        </w:rPr>
      </w:pPr>
      <w:r>
        <w:rPr>
          <w:rFonts w:ascii="Times New Roman" w:hAnsi="Times New Roman"/>
          <w:sz w:val="22"/>
        </w:rPr>
        <w:br w:type="page"/>
      </w:r>
    </w:p>
    <w:p w:rsidR="00D743D9" w:rsidRPr="00BC751E" w:rsidRDefault="00D743D9">
      <w:pPr>
        <w:jc w:val="left"/>
        <w:rPr>
          <w:rFonts w:ascii="Times New Roman" w:hAnsi="Times New Roman"/>
          <w:b/>
          <w:sz w:val="22"/>
        </w:rPr>
      </w:pPr>
      <w:r w:rsidRPr="00BC751E">
        <w:rPr>
          <w:rFonts w:ascii="Times New Roman" w:hAnsi="Times New Roman" w:hint="eastAsia"/>
          <w:b/>
          <w:sz w:val="22"/>
        </w:rPr>
        <w:lastRenderedPageBreak/>
        <w:t>Figure</w:t>
      </w:r>
      <w:r w:rsidR="00BC751E" w:rsidRPr="00BC751E">
        <w:rPr>
          <w:rFonts w:ascii="Times New Roman" w:hAnsi="Times New Roman"/>
          <w:b/>
          <w:sz w:val="22"/>
        </w:rPr>
        <w:t xml:space="preserve"> S1.</w:t>
      </w:r>
      <w:r w:rsidRPr="00BC751E">
        <w:rPr>
          <w:rFonts w:ascii="Times New Roman" w:hAnsi="Times New Roman" w:hint="eastAsia"/>
          <w:b/>
          <w:sz w:val="22"/>
        </w:rPr>
        <w:t xml:space="preserve"> </w:t>
      </w:r>
      <w:r w:rsidRPr="00BC751E">
        <w:rPr>
          <w:rFonts w:ascii="Times New Roman" w:hAnsi="Times New Roman"/>
          <w:b/>
          <w:sz w:val="22"/>
        </w:rPr>
        <w:t>Flow of Participants in the DESIRE trial</w:t>
      </w:r>
    </w:p>
    <w:p w:rsidR="00C14458" w:rsidRDefault="00C14458">
      <w:pPr>
        <w:jc w:val="left"/>
        <w:rPr>
          <w:rFonts w:ascii="Times New Roman" w:hAnsi="Times New Roman"/>
          <w:sz w:val="22"/>
        </w:rPr>
      </w:pPr>
    </w:p>
    <w:p w:rsidR="00BC751E" w:rsidRPr="00D743D9" w:rsidRDefault="00BC751E">
      <w:pPr>
        <w:jc w:val="left"/>
        <w:rPr>
          <w:rFonts w:ascii="Times New Roman" w:hAnsi="Times New Roman" w:hint="eastAsia"/>
          <w:sz w:val="22"/>
        </w:rPr>
      </w:pPr>
    </w:p>
    <w:p w:rsidR="00D743D9" w:rsidRPr="0065294B" w:rsidRDefault="0039092B">
      <w:pPr>
        <w:jc w:val="left"/>
        <w:rPr>
          <w:rFonts w:ascii="Times New Roman" w:hAnsi="Times New Roman" w:cs="Times New Roman"/>
          <w:sz w:val="22"/>
        </w:rPr>
      </w:pPr>
      <w:r>
        <w:rPr>
          <w:rFonts w:ascii="Times New Roman" w:hAnsi="Times New Roman" w:cs="Times New Roman"/>
          <w:noProof/>
          <w:sz w:val="22"/>
        </w:rPr>
        <w:drawing>
          <wp:inline distT="0" distB="0" distL="0" distR="0" wp14:anchorId="48E70696">
            <wp:extent cx="5381625" cy="3346108"/>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0669" cy="3351731"/>
                    </a:xfrm>
                    <a:prstGeom prst="rect">
                      <a:avLst/>
                    </a:prstGeom>
                    <a:noFill/>
                    <a:ln>
                      <a:noFill/>
                    </a:ln>
                  </pic:spPr>
                </pic:pic>
              </a:graphicData>
            </a:graphic>
          </wp:inline>
        </w:drawing>
      </w:r>
    </w:p>
    <w:sectPr w:rsidR="00D743D9" w:rsidRPr="0065294B">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9B" w:rsidRDefault="00CC329B" w:rsidP="00AF2EA9">
      <w:r>
        <w:separator/>
      </w:r>
    </w:p>
  </w:endnote>
  <w:endnote w:type="continuationSeparator" w:id="0">
    <w:p w:rsidR="00CC329B" w:rsidRDefault="00CC329B" w:rsidP="00AF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350196"/>
      <w:docPartObj>
        <w:docPartGallery w:val="Page Numbers (Bottom of Page)"/>
        <w:docPartUnique/>
      </w:docPartObj>
    </w:sdtPr>
    <w:sdtEndPr/>
    <w:sdtContent>
      <w:p w:rsidR="00E2270F" w:rsidRDefault="00E2270F">
        <w:pPr>
          <w:pStyle w:val="a7"/>
          <w:jc w:val="center"/>
        </w:pPr>
        <w:r>
          <w:fldChar w:fldCharType="begin"/>
        </w:r>
        <w:r>
          <w:instrText>PAGE   \* MERGEFORMAT</w:instrText>
        </w:r>
        <w:r>
          <w:fldChar w:fldCharType="separate"/>
        </w:r>
        <w:r w:rsidR="00BC751E" w:rsidRPr="00BC751E">
          <w:rPr>
            <w:noProof/>
            <w:lang w:val="ja-JP"/>
          </w:rPr>
          <w:t>2</w:t>
        </w:r>
        <w:r>
          <w:fldChar w:fldCharType="end"/>
        </w:r>
      </w:p>
    </w:sdtContent>
  </w:sdt>
  <w:p w:rsidR="00E2270F" w:rsidRDefault="00E2270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9B" w:rsidRDefault="00CC329B" w:rsidP="00AF2EA9">
      <w:r>
        <w:separator/>
      </w:r>
    </w:p>
  </w:footnote>
  <w:footnote w:type="continuationSeparator" w:id="0">
    <w:p w:rsidR="00CC329B" w:rsidRDefault="00CC329B" w:rsidP="00AF2E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216BDC"/>
    <w:multiLevelType w:val="hybridMultilevel"/>
    <w:tmpl w:val="95D45B12"/>
    <w:lvl w:ilvl="0" w:tplc="4392B35E">
      <w:start w:val="1"/>
      <w:numFmt w:val="decimal"/>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A32"/>
    <w:rsid w:val="00051A1F"/>
    <w:rsid w:val="00077405"/>
    <w:rsid w:val="00122277"/>
    <w:rsid w:val="00186CF3"/>
    <w:rsid w:val="001D5217"/>
    <w:rsid w:val="00262392"/>
    <w:rsid w:val="002C6766"/>
    <w:rsid w:val="002D479C"/>
    <w:rsid w:val="002D7D25"/>
    <w:rsid w:val="002F2853"/>
    <w:rsid w:val="00312C68"/>
    <w:rsid w:val="00353D1E"/>
    <w:rsid w:val="0039092B"/>
    <w:rsid w:val="003A6D61"/>
    <w:rsid w:val="003D60C0"/>
    <w:rsid w:val="00403ADD"/>
    <w:rsid w:val="00456C57"/>
    <w:rsid w:val="00490E62"/>
    <w:rsid w:val="004A565B"/>
    <w:rsid w:val="004B2288"/>
    <w:rsid w:val="004C6565"/>
    <w:rsid w:val="004D62C5"/>
    <w:rsid w:val="004E2254"/>
    <w:rsid w:val="00506829"/>
    <w:rsid w:val="00573E29"/>
    <w:rsid w:val="005D3211"/>
    <w:rsid w:val="005E1A32"/>
    <w:rsid w:val="0060047A"/>
    <w:rsid w:val="0065294B"/>
    <w:rsid w:val="006E179F"/>
    <w:rsid w:val="0070669D"/>
    <w:rsid w:val="0076318C"/>
    <w:rsid w:val="00764D74"/>
    <w:rsid w:val="00794CFC"/>
    <w:rsid w:val="007C712D"/>
    <w:rsid w:val="007C7154"/>
    <w:rsid w:val="007D023E"/>
    <w:rsid w:val="007E49A2"/>
    <w:rsid w:val="00823A9A"/>
    <w:rsid w:val="00857BB5"/>
    <w:rsid w:val="00880B92"/>
    <w:rsid w:val="008A14C4"/>
    <w:rsid w:val="008B56F4"/>
    <w:rsid w:val="008C0771"/>
    <w:rsid w:val="009234CD"/>
    <w:rsid w:val="009378E4"/>
    <w:rsid w:val="009631F8"/>
    <w:rsid w:val="009F10C5"/>
    <w:rsid w:val="00AC3A5D"/>
    <w:rsid w:val="00AF2EA9"/>
    <w:rsid w:val="00B06696"/>
    <w:rsid w:val="00B109CD"/>
    <w:rsid w:val="00B25FB4"/>
    <w:rsid w:val="00B95534"/>
    <w:rsid w:val="00BC751E"/>
    <w:rsid w:val="00BD2BC6"/>
    <w:rsid w:val="00C14458"/>
    <w:rsid w:val="00CB117A"/>
    <w:rsid w:val="00CC136B"/>
    <w:rsid w:val="00CC329B"/>
    <w:rsid w:val="00CF3B06"/>
    <w:rsid w:val="00D32058"/>
    <w:rsid w:val="00D743D9"/>
    <w:rsid w:val="00DE6F9E"/>
    <w:rsid w:val="00DF41EB"/>
    <w:rsid w:val="00E2270F"/>
    <w:rsid w:val="00E65BDE"/>
    <w:rsid w:val="00ED5D46"/>
    <w:rsid w:val="00F039AE"/>
    <w:rsid w:val="00F2347D"/>
    <w:rsid w:val="00F26F14"/>
    <w:rsid w:val="00F523CC"/>
    <w:rsid w:val="00F63188"/>
    <w:rsid w:val="00F74406"/>
    <w:rsid w:val="00FD3E16"/>
    <w:rsid w:val="00FF11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E84B68"/>
  <w15:chartTrackingRefBased/>
  <w15:docId w15:val="{72070C67-08FD-411F-BE7A-3DEFCD4D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B25FB4"/>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0047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0047A"/>
    <w:rPr>
      <w:rFonts w:asciiTheme="majorHAnsi" w:eastAsiaTheme="majorEastAsia" w:hAnsiTheme="majorHAnsi" w:cstheme="majorBidi"/>
      <w:sz w:val="18"/>
      <w:szCs w:val="18"/>
    </w:rPr>
  </w:style>
  <w:style w:type="paragraph" w:styleId="a5">
    <w:name w:val="header"/>
    <w:basedOn w:val="a"/>
    <w:link w:val="a6"/>
    <w:uiPriority w:val="99"/>
    <w:unhideWhenUsed/>
    <w:rsid w:val="00AF2EA9"/>
    <w:pPr>
      <w:tabs>
        <w:tab w:val="center" w:pos="4252"/>
        <w:tab w:val="right" w:pos="8504"/>
      </w:tabs>
      <w:snapToGrid w:val="0"/>
    </w:pPr>
  </w:style>
  <w:style w:type="character" w:customStyle="1" w:styleId="a6">
    <w:name w:val="ヘッダー (文字)"/>
    <w:basedOn w:val="a0"/>
    <w:link w:val="a5"/>
    <w:uiPriority w:val="99"/>
    <w:rsid w:val="00AF2EA9"/>
  </w:style>
  <w:style w:type="paragraph" w:styleId="a7">
    <w:name w:val="footer"/>
    <w:basedOn w:val="a"/>
    <w:link w:val="a8"/>
    <w:uiPriority w:val="99"/>
    <w:unhideWhenUsed/>
    <w:rsid w:val="00AF2EA9"/>
    <w:pPr>
      <w:tabs>
        <w:tab w:val="center" w:pos="4252"/>
        <w:tab w:val="right" w:pos="8504"/>
      </w:tabs>
      <w:snapToGrid w:val="0"/>
    </w:pPr>
  </w:style>
  <w:style w:type="character" w:customStyle="1" w:styleId="a8">
    <w:name w:val="フッター (文字)"/>
    <w:basedOn w:val="a0"/>
    <w:link w:val="a7"/>
    <w:uiPriority w:val="99"/>
    <w:rsid w:val="00AF2EA9"/>
  </w:style>
  <w:style w:type="paragraph" w:customStyle="1" w:styleId="EndNoteBibliography">
    <w:name w:val="EndNote Bibliography"/>
    <w:basedOn w:val="a"/>
    <w:link w:val="EndNoteBibliography0"/>
    <w:rsid w:val="007C712D"/>
    <w:pPr>
      <w:jc w:val="left"/>
    </w:pPr>
    <w:rPr>
      <w:rFonts w:ascii="Century" w:eastAsia="ＭＳ 明朝" w:hAnsi="Century" w:cs="Times New Roman"/>
      <w:noProof/>
      <w:sz w:val="20"/>
    </w:rPr>
  </w:style>
  <w:style w:type="character" w:customStyle="1" w:styleId="EndNoteBibliography0">
    <w:name w:val="EndNote Bibliography (文字)"/>
    <w:link w:val="EndNoteBibliography"/>
    <w:rsid w:val="007C712D"/>
    <w:rPr>
      <w:rFonts w:ascii="Century" w:eastAsia="ＭＳ 明朝" w:hAnsi="Century" w:cs="Times New Roman"/>
      <w:noProof/>
      <w:sz w:val="20"/>
    </w:rPr>
  </w:style>
  <w:style w:type="character" w:styleId="a9">
    <w:name w:val="Hyperlink"/>
    <w:basedOn w:val="a0"/>
    <w:uiPriority w:val="99"/>
    <w:semiHidden/>
    <w:unhideWhenUsed/>
    <w:rsid w:val="00B25FB4"/>
    <w:rPr>
      <w:color w:val="0000FF"/>
      <w:u w:val="single"/>
    </w:rPr>
  </w:style>
  <w:style w:type="character" w:customStyle="1" w:styleId="10">
    <w:name w:val="見出し 1 (文字)"/>
    <w:basedOn w:val="a0"/>
    <w:link w:val="1"/>
    <w:uiPriority w:val="9"/>
    <w:rsid w:val="00B25FB4"/>
    <w:rPr>
      <w:rFonts w:ascii="ＭＳ Ｐゴシック" w:eastAsia="ＭＳ Ｐゴシック" w:hAnsi="ＭＳ Ｐゴシック" w:cs="ＭＳ Ｐゴシック"/>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346929">
      <w:bodyDiv w:val="1"/>
      <w:marLeft w:val="0"/>
      <w:marRight w:val="0"/>
      <w:marTop w:val="0"/>
      <w:marBottom w:val="0"/>
      <w:divBdr>
        <w:top w:val="none" w:sz="0" w:space="0" w:color="auto"/>
        <w:left w:val="none" w:sz="0" w:space="0" w:color="auto"/>
        <w:bottom w:val="none" w:sz="0" w:space="0" w:color="auto"/>
        <w:right w:val="none" w:sz="0" w:space="0" w:color="auto"/>
      </w:divBdr>
    </w:div>
    <w:div w:id="1089886291">
      <w:bodyDiv w:val="1"/>
      <w:marLeft w:val="0"/>
      <w:marRight w:val="0"/>
      <w:marTop w:val="0"/>
      <w:marBottom w:val="0"/>
      <w:divBdr>
        <w:top w:val="none" w:sz="0" w:space="0" w:color="auto"/>
        <w:left w:val="none" w:sz="0" w:space="0" w:color="auto"/>
        <w:bottom w:val="none" w:sz="0" w:space="0" w:color="auto"/>
        <w:right w:val="none" w:sz="0" w:space="0" w:color="auto"/>
      </w:divBdr>
    </w:div>
    <w:div w:id="12006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1264</Words>
  <Characters>7209</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太田好紀</dc:creator>
  <cp:keywords/>
  <dc:description/>
  <cp:lastModifiedBy>Takeshi Morimoto</cp:lastModifiedBy>
  <cp:revision>3</cp:revision>
  <cp:lastPrinted>2019-11-10T08:03:00Z</cp:lastPrinted>
  <dcterms:created xsi:type="dcterms:W3CDTF">2020-08-02T13:55:00Z</dcterms:created>
  <dcterms:modified xsi:type="dcterms:W3CDTF">2020-08-02T13:57:00Z</dcterms:modified>
</cp:coreProperties>
</file>