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B1A476" w14:textId="717DBAFD" w:rsidR="00F44837" w:rsidRPr="005A4806" w:rsidRDefault="0038629F">
      <w:pPr>
        <w:rPr>
          <w:lang w:val="en-US"/>
        </w:rPr>
      </w:pPr>
      <w:bookmarkStart w:id="0" w:name="_GoBack"/>
      <w:bookmarkEnd w:id="0"/>
      <w:r>
        <w:rPr>
          <w:b/>
          <w:lang w:val="en-GB"/>
        </w:rPr>
        <w:t>Supplementa</w:t>
      </w:r>
      <w:r w:rsidR="001029C4">
        <w:rPr>
          <w:b/>
          <w:lang w:val="en-GB"/>
        </w:rPr>
        <w:t>ry</w:t>
      </w:r>
      <w:r>
        <w:rPr>
          <w:b/>
          <w:lang w:val="en-GB"/>
        </w:rPr>
        <w:t xml:space="preserve"> material</w:t>
      </w:r>
    </w:p>
    <w:p w14:paraId="7E7A3800" w14:textId="31C34925" w:rsidR="005A4806" w:rsidRPr="005A4806" w:rsidRDefault="005A4806">
      <w:pPr>
        <w:rPr>
          <w:lang w:val="en-US"/>
        </w:rPr>
      </w:pPr>
    </w:p>
    <w:p w14:paraId="20EBD514" w14:textId="77777777" w:rsidR="005A4806" w:rsidRPr="00606FCE" w:rsidRDefault="005A4806" w:rsidP="005A4806">
      <w:pPr>
        <w:snapToGrid w:val="0"/>
        <w:spacing w:before="120" w:line="480" w:lineRule="auto"/>
        <w:jc w:val="both"/>
        <w:outlineLvl w:val="0"/>
        <w:rPr>
          <w:b/>
          <w:lang w:val="en-GB"/>
        </w:rPr>
      </w:pPr>
      <w:r w:rsidRPr="00606FCE">
        <w:rPr>
          <w:b/>
          <w:lang w:val="en-GB"/>
        </w:rPr>
        <w:t>Animals</w:t>
      </w:r>
    </w:p>
    <w:p w14:paraId="125A2773" w14:textId="00AA136A" w:rsidR="005A4806" w:rsidRPr="00606FCE" w:rsidRDefault="005A4806" w:rsidP="005A4806">
      <w:pPr>
        <w:snapToGrid w:val="0"/>
        <w:spacing w:before="120" w:line="480" w:lineRule="auto"/>
        <w:jc w:val="both"/>
        <w:rPr>
          <w:lang w:val="en-US"/>
        </w:rPr>
      </w:pPr>
      <w:r w:rsidRPr="00606FCE">
        <w:rPr>
          <w:lang w:val="en-US"/>
        </w:rPr>
        <w:t xml:space="preserve">Specific pathogen-free C57BL/6 mice of 6-8 weeks old were purchased from </w:t>
      </w:r>
      <w:proofErr w:type="spellStart"/>
      <w:r w:rsidRPr="00606FCE">
        <w:rPr>
          <w:lang w:val="en-US"/>
        </w:rPr>
        <w:t>Janvier</w:t>
      </w:r>
      <w:proofErr w:type="spellEnd"/>
      <w:r w:rsidRPr="00606FCE">
        <w:rPr>
          <w:lang w:val="en-US"/>
        </w:rPr>
        <w:t xml:space="preserve"> Labs (Le Genest-Saint-Isle, France). </w:t>
      </w:r>
      <w:r w:rsidRPr="00606FCE">
        <w:rPr>
          <w:lang w:val="en-GB"/>
        </w:rPr>
        <w:t xml:space="preserve">Mice were housed in a controlled, specific pathogen-free environment. Mice were euthanized by lethal injection of 0.2mL of </w:t>
      </w:r>
      <w:proofErr w:type="spellStart"/>
      <w:r w:rsidRPr="00606FCE">
        <w:rPr>
          <w:lang w:val="en-GB"/>
        </w:rPr>
        <w:t>dolethal</w:t>
      </w:r>
      <w:proofErr w:type="spellEnd"/>
      <w:r w:rsidRPr="00606FCE">
        <w:rPr>
          <w:lang w:val="en-GB"/>
        </w:rPr>
        <w:t xml:space="preserve"> (</w:t>
      </w:r>
      <w:proofErr w:type="spellStart"/>
      <w:r w:rsidRPr="00606FCE">
        <w:rPr>
          <w:lang w:val="en-GB"/>
        </w:rPr>
        <w:t>Vétoquinol</w:t>
      </w:r>
      <w:proofErr w:type="spellEnd"/>
      <w:r w:rsidRPr="00606FCE">
        <w:rPr>
          <w:lang w:val="en-GB"/>
        </w:rPr>
        <w:t>, Paris, France).</w:t>
      </w:r>
    </w:p>
    <w:p w14:paraId="27A82FAF" w14:textId="77777777" w:rsidR="005A4806" w:rsidRPr="00606FCE" w:rsidRDefault="005A4806" w:rsidP="005A4806">
      <w:pPr>
        <w:snapToGrid w:val="0"/>
        <w:spacing w:before="120" w:line="480" w:lineRule="auto"/>
        <w:jc w:val="both"/>
        <w:outlineLvl w:val="0"/>
        <w:rPr>
          <w:b/>
          <w:lang w:val="en-GB"/>
        </w:rPr>
      </w:pPr>
      <w:r w:rsidRPr="00606FCE">
        <w:rPr>
          <w:b/>
          <w:lang w:val="en-GB"/>
        </w:rPr>
        <w:t xml:space="preserve">Bacterial Strain </w:t>
      </w:r>
    </w:p>
    <w:p w14:paraId="7A3A1C4B" w14:textId="77777777" w:rsidR="005A4806" w:rsidRPr="00606FCE" w:rsidRDefault="005A4806" w:rsidP="005A4806">
      <w:pPr>
        <w:snapToGrid w:val="0"/>
        <w:spacing w:before="120" w:line="480" w:lineRule="auto"/>
        <w:jc w:val="both"/>
        <w:rPr>
          <w:lang w:val="en-GB"/>
        </w:rPr>
      </w:pPr>
      <w:r w:rsidRPr="00606FCE">
        <w:rPr>
          <w:i/>
          <w:lang w:val="en-GB"/>
        </w:rPr>
        <w:t>P. aeruginosa</w:t>
      </w:r>
      <w:r w:rsidRPr="00606FCE">
        <w:rPr>
          <w:lang w:val="en-GB"/>
        </w:rPr>
        <w:t xml:space="preserve"> PAO1 strain was grown overnight at 37°C in Luria-Bertani broth, with orbital shaking, harvested by centrifugation (3500rpm, 10min), and washed with sterile isotonic saline. Bacteria suspensions and inoculum standardization were then determined based on optical density at 600 nm and verified by serial dilutions and plating on Luria-Bertani agar (Fisher Scientific, Hampton, NH, USA). </w:t>
      </w:r>
    </w:p>
    <w:p w14:paraId="34B21C64" w14:textId="77777777" w:rsidR="005A4806" w:rsidRPr="00606FCE" w:rsidRDefault="005A4806" w:rsidP="005A4806">
      <w:pPr>
        <w:snapToGrid w:val="0"/>
        <w:spacing w:before="120" w:line="480" w:lineRule="auto"/>
        <w:jc w:val="both"/>
        <w:outlineLvl w:val="0"/>
        <w:rPr>
          <w:b/>
          <w:lang w:val="en-GB"/>
        </w:rPr>
      </w:pPr>
      <w:r w:rsidRPr="00606FCE">
        <w:rPr>
          <w:b/>
          <w:lang w:val="en-GB"/>
        </w:rPr>
        <w:t>Bronchoalveolar lavage (BAL)</w:t>
      </w:r>
    </w:p>
    <w:p w14:paraId="2FF7EE8A" w14:textId="77777777" w:rsidR="005A4806" w:rsidRDefault="005A4806" w:rsidP="005A4806">
      <w:pPr>
        <w:snapToGrid w:val="0"/>
        <w:spacing w:before="120" w:line="480" w:lineRule="auto"/>
        <w:jc w:val="both"/>
        <w:rPr>
          <w:lang w:val="en-GB"/>
        </w:rPr>
      </w:pPr>
      <w:r w:rsidRPr="00606FCE">
        <w:rPr>
          <w:lang w:val="en-GB"/>
        </w:rPr>
        <w:t>Lungs from each experimental group were washed with a total of 1.5mL PBS. Recovered lavage fluid was centrifuged (1500rpm, 10min), the cellular pellet was washed twice with PBS. BAL samples were frozen at -80°C after collection for cytokine measurement. Cell counts were performed directly by optical microscopy.</w:t>
      </w:r>
    </w:p>
    <w:p w14:paraId="5586DF2D" w14:textId="77777777" w:rsidR="005A4806" w:rsidRPr="00606FCE" w:rsidRDefault="005A4806" w:rsidP="005A4806">
      <w:pPr>
        <w:snapToGrid w:val="0"/>
        <w:spacing w:before="120" w:line="480" w:lineRule="auto"/>
        <w:jc w:val="both"/>
        <w:outlineLvl w:val="0"/>
        <w:rPr>
          <w:b/>
          <w:lang w:val="en-GB"/>
        </w:rPr>
      </w:pPr>
      <w:r w:rsidRPr="00606FCE">
        <w:rPr>
          <w:b/>
          <w:lang w:val="en-GB"/>
        </w:rPr>
        <w:t>Bacterial burden</w:t>
      </w:r>
    </w:p>
    <w:p w14:paraId="322CA048" w14:textId="77777777" w:rsidR="005A4806" w:rsidRPr="00606FCE" w:rsidRDefault="005A4806" w:rsidP="005A4806">
      <w:pPr>
        <w:snapToGrid w:val="0"/>
        <w:spacing w:before="120" w:line="480" w:lineRule="auto"/>
        <w:jc w:val="both"/>
        <w:rPr>
          <w:lang w:val="en-GB"/>
        </w:rPr>
      </w:pPr>
      <w:r w:rsidRPr="00606FCE">
        <w:rPr>
          <w:lang w:val="en-GB"/>
        </w:rPr>
        <w:t>Mouse lungs and spleens were homogenized in sterile containers with PBS. Lung and spleen homogenates were sequentially diluted and cultured on Luria-Bertani agar plates for 24 hours to assess bacterial load.</w:t>
      </w:r>
    </w:p>
    <w:p w14:paraId="331F1167" w14:textId="77777777" w:rsidR="005A4806" w:rsidRPr="00606FCE" w:rsidRDefault="005A4806" w:rsidP="005A4806">
      <w:pPr>
        <w:snapToGrid w:val="0"/>
        <w:spacing w:before="120" w:line="480" w:lineRule="auto"/>
        <w:jc w:val="both"/>
        <w:outlineLvl w:val="0"/>
        <w:rPr>
          <w:b/>
          <w:lang w:val="en-GB"/>
        </w:rPr>
      </w:pPr>
      <w:r w:rsidRPr="00606FCE">
        <w:rPr>
          <w:b/>
          <w:lang w:val="en-GB"/>
        </w:rPr>
        <w:t>Flow cytometry</w:t>
      </w:r>
    </w:p>
    <w:p w14:paraId="49EB65D9" w14:textId="77777777" w:rsidR="005A4806" w:rsidRPr="00606FCE" w:rsidRDefault="005A4806" w:rsidP="005A4806">
      <w:pPr>
        <w:snapToGrid w:val="0"/>
        <w:spacing w:before="120" w:line="480" w:lineRule="auto"/>
        <w:jc w:val="both"/>
        <w:rPr>
          <w:lang w:val="en-GB"/>
        </w:rPr>
      </w:pPr>
      <w:r w:rsidRPr="00606FCE">
        <w:rPr>
          <w:lang w:val="en-GB"/>
        </w:rPr>
        <w:lastRenderedPageBreak/>
        <w:t xml:space="preserve">Antibodies and the permeation kits were purchased from BD. Cells harvested from BAL fluid and lungs were washed and incubated with appropriate dilutions of an antigen-presenting-cell antibody panel or a lymphoid-cell antibody panel for 30 min in PBS and then washed twice and resuspended in PBS 2% </w:t>
      </w:r>
      <w:proofErr w:type="spellStart"/>
      <w:r w:rsidRPr="00606FCE">
        <w:rPr>
          <w:lang w:val="en-GB"/>
        </w:rPr>
        <w:t>fetal</w:t>
      </w:r>
      <w:proofErr w:type="spellEnd"/>
      <w:r w:rsidRPr="00606FCE">
        <w:rPr>
          <w:lang w:val="en-GB"/>
        </w:rPr>
        <w:t xml:space="preserve"> calf serum. For each antibody, a control isotype was used for compensation. Cells were </w:t>
      </w:r>
      <w:proofErr w:type="spellStart"/>
      <w:r w:rsidRPr="00606FCE">
        <w:rPr>
          <w:lang w:val="en-GB"/>
        </w:rPr>
        <w:t>analyzed</w:t>
      </w:r>
      <w:proofErr w:type="spellEnd"/>
      <w:r w:rsidRPr="00606FCE">
        <w:rPr>
          <w:lang w:val="en-GB"/>
        </w:rPr>
        <w:t xml:space="preserve"> on </w:t>
      </w:r>
      <w:proofErr w:type="gramStart"/>
      <w:r w:rsidRPr="00606FCE">
        <w:rPr>
          <w:lang w:val="en-GB"/>
        </w:rPr>
        <w:t>a</w:t>
      </w:r>
      <w:proofErr w:type="gramEnd"/>
      <w:r w:rsidRPr="00606FCE">
        <w:rPr>
          <w:lang w:val="en-GB"/>
        </w:rPr>
        <w:t xml:space="preserve"> LSR </w:t>
      </w:r>
      <w:proofErr w:type="spellStart"/>
      <w:r w:rsidRPr="00606FCE">
        <w:rPr>
          <w:lang w:val="en-GB"/>
        </w:rPr>
        <w:t>Fortessa</w:t>
      </w:r>
      <w:proofErr w:type="spellEnd"/>
      <w:r w:rsidRPr="00606FCE">
        <w:rPr>
          <w:lang w:val="en-GB"/>
        </w:rPr>
        <w:t xml:space="preserve"> (BD Biosciences). Flow cytometry gating strategy </w:t>
      </w:r>
      <w:r>
        <w:rPr>
          <w:lang w:val="en-GB"/>
        </w:rPr>
        <w:t xml:space="preserve">to </w:t>
      </w:r>
      <w:proofErr w:type="spellStart"/>
      <w:r>
        <w:rPr>
          <w:lang w:val="en-GB"/>
        </w:rPr>
        <w:t>analyze</w:t>
      </w:r>
      <w:proofErr w:type="spellEnd"/>
      <w:r>
        <w:rPr>
          <w:lang w:val="en-GB"/>
        </w:rPr>
        <w:t xml:space="preserve"> AM, cDC1, cDC2, Inflammatory monocytes, monocytes, neutrophils, T lymphocytes (CD4</w:t>
      </w:r>
      <w:r w:rsidRPr="006E2383">
        <w:rPr>
          <w:vertAlign w:val="superscript"/>
          <w:lang w:val="en-GB"/>
        </w:rPr>
        <w:t>+</w:t>
      </w:r>
      <w:r>
        <w:rPr>
          <w:lang w:val="en-GB"/>
        </w:rPr>
        <w:t xml:space="preserve"> and CD8</w:t>
      </w:r>
      <w:r w:rsidRPr="006E2383">
        <w:rPr>
          <w:vertAlign w:val="superscript"/>
          <w:lang w:val="en-GB"/>
        </w:rPr>
        <w:t>+</w:t>
      </w:r>
      <w:r>
        <w:rPr>
          <w:lang w:val="en-GB"/>
        </w:rPr>
        <w:t xml:space="preserve">), NK cells, </w:t>
      </w:r>
      <w:proofErr w:type="spellStart"/>
      <w:r>
        <w:rPr>
          <w:lang w:val="en-GB"/>
        </w:rPr>
        <w:t>iNKT</w:t>
      </w:r>
      <w:proofErr w:type="spellEnd"/>
      <w:r>
        <w:rPr>
          <w:lang w:val="en-GB"/>
        </w:rPr>
        <w:t xml:space="preserve"> cells, NKT cells, and T</w:t>
      </w:r>
      <w:r>
        <w:rPr>
          <w:rFonts w:ascii="Symbol" w:hAnsi="Symbol"/>
          <w:lang w:val="en-GB"/>
        </w:rPr>
        <w:sym w:font="Symbol" w:char="F067"/>
      </w:r>
      <w:r>
        <w:rPr>
          <w:rFonts w:ascii="Symbol" w:hAnsi="Symbol"/>
          <w:lang w:val="en-GB"/>
        </w:rPr>
        <w:sym w:font="Symbol" w:char="F064"/>
      </w:r>
      <w:r>
        <w:rPr>
          <w:lang w:val="en-GB"/>
        </w:rPr>
        <w:t xml:space="preserve"> cells, </w:t>
      </w:r>
      <w:r w:rsidRPr="00606FCE">
        <w:rPr>
          <w:lang w:val="en-GB"/>
        </w:rPr>
        <w:t xml:space="preserve">is illustrated in supplementary figure 2. Generated data were </w:t>
      </w:r>
      <w:proofErr w:type="spellStart"/>
      <w:r w:rsidRPr="00606FCE">
        <w:rPr>
          <w:lang w:val="en-GB"/>
        </w:rPr>
        <w:t>analyzed</w:t>
      </w:r>
      <w:proofErr w:type="spellEnd"/>
      <w:r w:rsidRPr="00606FCE">
        <w:rPr>
          <w:lang w:val="en-GB"/>
        </w:rPr>
        <w:t xml:space="preserve"> using </w:t>
      </w:r>
      <w:proofErr w:type="spellStart"/>
      <w:r w:rsidRPr="00606FCE">
        <w:rPr>
          <w:lang w:val="en-GB"/>
        </w:rPr>
        <w:t>FlowJo</w:t>
      </w:r>
      <w:proofErr w:type="spellEnd"/>
      <w:r w:rsidRPr="00606FCE">
        <w:rPr>
          <w:lang w:val="en-GB"/>
        </w:rPr>
        <w:t xml:space="preserve"> 8.7 (Tree Star, Stanford, CA).</w:t>
      </w:r>
    </w:p>
    <w:p w14:paraId="66AF0FF8" w14:textId="77777777" w:rsidR="005A4806" w:rsidRPr="00606FCE" w:rsidRDefault="005A4806" w:rsidP="005A4806">
      <w:pPr>
        <w:snapToGrid w:val="0"/>
        <w:spacing w:before="120" w:line="480" w:lineRule="auto"/>
        <w:jc w:val="both"/>
        <w:outlineLvl w:val="0"/>
        <w:rPr>
          <w:b/>
          <w:highlight w:val="yellow"/>
          <w:lang w:val="en-GB"/>
        </w:rPr>
      </w:pPr>
      <w:r w:rsidRPr="00606FCE">
        <w:rPr>
          <w:b/>
          <w:lang w:val="en-GB"/>
        </w:rPr>
        <w:t>Bone marrow progenitor analysis</w:t>
      </w:r>
    </w:p>
    <w:p w14:paraId="65048AA3" w14:textId="77777777" w:rsidR="005A4806" w:rsidRPr="00606FCE" w:rsidRDefault="005A4806" w:rsidP="005A4806">
      <w:pPr>
        <w:pStyle w:val="Default"/>
        <w:spacing w:before="120" w:line="480" w:lineRule="auto"/>
        <w:jc w:val="both"/>
        <w:rPr>
          <w:rFonts w:ascii="Times New Roman" w:hAnsi="Times New Roman" w:cs="Times New Roman"/>
          <w:color w:val="auto"/>
          <w:lang w:val="en-US"/>
        </w:rPr>
      </w:pPr>
      <w:r w:rsidRPr="00606FCE">
        <w:rPr>
          <w:rFonts w:ascii="Times New Roman" w:hAnsi="Times New Roman" w:cs="Times New Roman"/>
          <w:color w:val="auto"/>
          <w:lang w:val="en-US"/>
        </w:rPr>
        <w:t>Cell populations (CD45</w:t>
      </w:r>
      <w:r w:rsidRPr="00606FCE">
        <w:rPr>
          <w:rFonts w:ascii="Times New Roman" w:hAnsi="Times New Roman" w:cs="Times New Roman"/>
          <w:color w:val="auto"/>
          <w:vertAlign w:val="superscript"/>
          <w:lang w:val="en-US"/>
        </w:rPr>
        <w:t>+</w:t>
      </w:r>
      <w:r w:rsidRPr="00606FCE">
        <w:rPr>
          <w:rFonts w:ascii="Times New Roman" w:hAnsi="Times New Roman" w:cs="Times New Roman"/>
          <w:color w:val="auto"/>
          <w:lang w:val="en-US"/>
        </w:rPr>
        <w:t xml:space="preserve"> cells) were analyzed with a BD LSR </w:t>
      </w:r>
      <w:proofErr w:type="spellStart"/>
      <w:r w:rsidRPr="00606FCE">
        <w:rPr>
          <w:rFonts w:ascii="Times New Roman" w:hAnsi="Times New Roman" w:cs="Times New Roman"/>
          <w:color w:val="auto"/>
          <w:lang w:val="en-US"/>
        </w:rPr>
        <w:t>Fortessa</w:t>
      </w:r>
      <w:proofErr w:type="spellEnd"/>
      <w:r w:rsidRPr="00606FCE">
        <w:rPr>
          <w:rFonts w:ascii="Times New Roman" w:hAnsi="Times New Roman" w:cs="Times New Roman"/>
          <w:color w:val="auto"/>
          <w:lang w:val="en-US"/>
        </w:rPr>
        <w:t xml:space="preserve"> (BD Biosciences) according to the following cell surface phenotypes: (MDPs): Lin(*)</w:t>
      </w:r>
      <w:r w:rsidRPr="00606FCE">
        <w:rPr>
          <w:rFonts w:ascii="Times New Roman" w:hAnsi="Times New Roman" w:cs="Times New Roman"/>
          <w:color w:val="auto"/>
          <w:vertAlign w:val="superscript"/>
          <w:lang w:val="en-US"/>
        </w:rPr>
        <w:t>-</w:t>
      </w:r>
      <w:r w:rsidRPr="00606FCE">
        <w:rPr>
          <w:rFonts w:ascii="Times New Roman" w:hAnsi="Times New Roman" w:cs="Times New Roman"/>
          <w:color w:val="auto"/>
          <w:lang w:val="en-US"/>
        </w:rPr>
        <w:t>CD11b</w:t>
      </w:r>
      <w:r w:rsidRPr="00606FCE">
        <w:rPr>
          <w:rFonts w:ascii="Times New Roman" w:hAnsi="Times New Roman" w:cs="Times New Roman"/>
          <w:color w:val="auto"/>
          <w:vertAlign w:val="superscript"/>
          <w:lang w:val="en-US"/>
        </w:rPr>
        <w:t>-</w:t>
      </w:r>
      <w:r w:rsidRPr="00606FCE">
        <w:rPr>
          <w:rFonts w:ascii="Times New Roman" w:hAnsi="Times New Roman" w:cs="Times New Roman"/>
          <w:color w:val="auto"/>
          <w:lang w:val="en-US"/>
        </w:rPr>
        <w:t>CD117</w:t>
      </w:r>
      <w:r w:rsidRPr="00606FCE">
        <w:rPr>
          <w:rFonts w:ascii="Times New Roman" w:hAnsi="Times New Roman" w:cs="Times New Roman"/>
          <w:color w:val="auto"/>
          <w:vertAlign w:val="superscript"/>
          <w:lang w:val="en-US"/>
        </w:rPr>
        <w:t>+</w:t>
      </w:r>
      <w:r w:rsidRPr="00606FCE">
        <w:rPr>
          <w:rFonts w:ascii="Times New Roman" w:hAnsi="Times New Roman" w:cs="Times New Roman"/>
          <w:color w:val="auto"/>
          <w:lang w:val="en-US"/>
        </w:rPr>
        <w:t>CD135</w:t>
      </w:r>
      <w:r w:rsidRPr="00606FCE">
        <w:rPr>
          <w:rFonts w:ascii="Times New Roman" w:hAnsi="Times New Roman" w:cs="Times New Roman"/>
          <w:color w:val="auto"/>
          <w:vertAlign w:val="superscript"/>
          <w:lang w:val="en-US"/>
        </w:rPr>
        <w:t>+</w:t>
      </w:r>
      <w:r w:rsidRPr="00606FCE">
        <w:rPr>
          <w:rFonts w:ascii="Times New Roman" w:hAnsi="Times New Roman" w:cs="Times New Roman"/>
          <w:color w:val="auto"/>
          <w:lang w:val="en-US"/>
        </w:rPr>
        <w:t>CD115</w:t>
      </w:r>
      <w:r w:rsidRPr="00606FCE">
        <w:rPr>
          <w:rFonts w:ascii="Times New Roman" w:hAnsi="Times New Roman" w:cs="Times New Roman"/>
          <w:color w:val="auto"/>
          <w:vertAlign w:val="superscript"/>
          <w:lang w:val="en-US"/>
        </w:rPr>
        <w:t>+</w:t>
      </w:r>
      <w:r w:rsidRPr="00606FCE">
        <w:rPr>
          <w:rFonts w:ascii="Times New Roman" w:hAnsi="Times New Roman" w:cs="Times New Roman"/>
          <w:color w:val="auto"/>
          <w:lang w:val="en-US"/>
        </w:rPr>
        <w:t>; (CDPs) Lin(*)</w:t>
      </w:r>
      <w:r w:rsidRPr="00606FCE">
        <w:rPr>
          <w:rFonts w:ascii="Times New Roman" w:hAnsi="Times New Roman" w:cs="Times New Roman"/>
          <w:color w:val="auto"/>
          <w:vertAlign w:val="superscript"/>
          <w:lang w:val="en-US"/>
        </w:rPr>
        <w:t>-</w:t>
      </w:r>
      <w:r w:rsidRPr="00606FCE">
        <w:rPr>
          <w:rFonts w:ascii="Times New Roman" w:hAnsi="Times New Roman" w:cs="Times New Roman"/>
          <w:color w:val="auto"/>
          <w:lang w:val="en-US"/>
        </w:rPr>
        <w:t>CD11b</w:t>
      </w:r>
      <w:r w:rsidRPr="00606FCE">
        <w:rPr>
          <w:rFonts w:ascii="Times New Roman" w:hAnsi="Times New Roman" w:cs="Times New Roman"/>
          <w:color w:val="auto"/>
          <w:vertAlign w:val="superscript"/>
          <w:lang w:val="en-US"/>
        </w:rPr>
        <w:t>-</w:t>
      </w:r>
      <w:r w:rsidRPr="00606FCE">
        <w:rPr>
          <w:rFonts w:ascii="Times New Roman" w:hAnsi="Times New Roman" w:cs="Times New Roman"/>
          <w:color w:val="auto"/>
          <w:lang w:val="en-US"/>
        </w:rPr>
        <w:t>CD117</w:t>
      </w:r>
      <w:r w:rsidRPr="00606FCE">
        <w:rPr>
          <w:rFonts w:ascii="Times New Roman" w:hAnsi="Times New Roman" w:cs="Times New Roman"/>
          <w:color w:val="auto"/>
          <w:vertAlign w:val="superscript"/>
          <w:lang w:val="en-US"/>
        </w:rPr>
        <w:t>low</w:t>
      </w:r>
      <w:r w:rsidRPr="00606FCE">
        <w:rPr>
          <w:rFonts w:ascii="Times New Roman" w:hAnsi="Times New Roman" w:cs="Times New Roman"/>
          <w:color w:val="auto"/>
          <w:lang w:val="en-US"/>
        </w:rPr>
        <w:t>CD135</w:t>
      </w:r>
      <w:r w:rsidRPr="00606FCE">
        <w:rPr>
          <w:rFonts w:ascii="Times New Roman" w:hAnsi="Times New Roman" w:cs="Times New Roman"/>
          <w:color w:val="auto"/>
          <w:vertAlign w:val="superscript"/>
          <w:lang w:val="en-US"/>
        </w:rPr>
        <w:t>+</w:t>
      </w:r>
      <w:r w:rsidRPr="00606FCE">
        <w:rPr>
          <w:rFonts w:ascii="Times New Roman" w:hAnsi="Times New Roman" w:cs="Times New Roman"/>
          <w:color w:val="auto"/>
          <w:lang w:val="en-US"/>
        </w:rPr>
        <w:t>CD115</w:t>
      </w:r>
      <w:r w:rsidRPr="00606FCE">
        <w:rPr>
          <w:rFonts w:ascii="Times New Roman" w:hAnsi="Times New Roman" w:cs="Times New Roman"/>
          <w:color w:val="auto"/>
          <w:vertAlign w:val="superscript"/>
          <w:lang w:val="en-US"/>
        </w:rPr>
        <w:t>+</w:t>
      </w:r>
      <w:r w:rsidRPr="00606FCE">
        <w:rPr>
          <w:rFonts w:ascii="Times New Roman" w:hAnsi="Times New Roman" w:cs="Times New Roman"/>
          <w:color w:val="auto"/>
          <w:lang w:val="en-US"/>
        </w:rPr>
        <w:t>CD11c</w:t>
      </w:r>
      <w:r w:rsidRPr="00606FCE">
        <w:rPr>
          <w:rFonts w:ascii="Times New Roman" w:hAnsi="Times New Roman" w:cs="Times New Roman"/>
          <w:color w:val="auto"/>
          <w:vertAlign w:val="superscript"/>
          <w:lang w:val="en-US"/>
        </w:rPr>
        <w:t>-</w:t>
      </w:r>
      <w:r w:rsidRPr="00606FCE">
        <w:rPr>
          <w:rFonts w:ascii="Times New Roman" w:hAnsi="Times New Roman" w:cs="Times New Roman"/>
          <w:color w:val="auto"/>
          <w:lang w:val="en-US"/>
        </w:rPr>
        <w:t>; (pre-DCs): Lin(*)</w:t>
      </w:r>
      <w:r w:rsidRPr="00606FCE">
        <w:rPr>
          <w:rFonts w:ascii="Times New Roman" w:hAnsi="Times New Roman" w:cs="Times New Roman"/>
          <w:color w:val="auto"/>
          <w:vertAlign w:val="superscript"/>
          <w:lang w:val="en-US"/>
        </w:rPr>
        <w:t>-</w:t>
      </w:r>
      <w:r w:rsidRPr="00606FCE">
        <w:rPr>
          <w:rFonts w:ascii="Times New Roman" w:hAnsi="Times New Roman" w:cs="Times New Roman"/>
          <w:color w:val="auto"/>
          <w:lang w:val="en-US"/>
        </w:rPr>
        <w:t>CD11b</w:t>
      </w:r>
      <w:r w:rsidRPr="00606FCE">
        <w:rPr>
          <w:rFonts w:ascii="Times New Roman" w:hAnsi="Times New Roman" w:cs="Times New Roman"/>
          <w:color w:val="auto"/>
          <w:vertAlign w:val="superscript"/>
          <w:lang w:val="en-US"/>
        </w:rPr>
        <w:t>-</w:t>
      </w:r>
      <w:r w:rsidRPr="00606FCE">
        <w:rPr>
          <w:rFonts w:ascii="Times New Roman" w:hAnsi="Times New Roman" w:cs="Times New Roman"/>
          <w:color w:val="auto"/>
          <w:lang w:val="en-US"/>
        </w:rPr>
        <w:t>CD11c</w:t>
      </w:r>
      <w:r w:rsidRPr="00606FCE">
        <w:rPr>
          <w:rFonts w:ascii="Times New Roman" w:hAnsi="Times New Roman" w:cs="Times New Roman"/>
          <w:color w:val="auto"/>
          <w:vertAlign w:val="superscript"/>
          <w:lang w:val="en-US"/>
        </w:rPr>
        <w:t>+</w:t>
      </w:r>
      <w:r w:rsidRPr="00606FCE">
        <w:rPr>
          <w:rFonts w:ascii="Times New Roman" w:hAnsi="Times New Roman" w:cs="Times New Roman"/>
          <w:color w:val="auto"/>
          <w:lang w:val="en-US"/>
        </w:rPr>
        <w:t>MHCII</w:t>
      </w:r>
      <w:r w:rsidRPr="00606FCE">
        <w:rPr>
          <w:rFonts w:ascii="Times New Roman" w:hAnsi="Times New Roman" w:cs="Times New Roman"/>
          <w:color w:val="auto"/>
          <w:vertAlign w:val="superscript"/>
          <w:lang w:val="en-US"/>
        </w:rPr>
        <w:t>-</w:t>
      </w:r>
      <w:r w:rsidRPr="00606FCE">
        <w:rPr>
          <w:rFonts w:ascii="Times New Roman" w:hAnsi="Times New Roman" w:cs="Times New Roman"/>
          <w:color w:val="auto"/>
          <w:lang w:val="en-US"/>
        </w:rPr>
        <w:t>CD135</w:t>
      </w:r>
      <w:r w:rsidRPr="00606FCE">
        <w:rPr>
          <w:rFonts w:ascii="Times New Roman" w:hAnsi="Times New Roman" w:cs="Times New Roman"/>
          <w:color w:val="auto"/>
          <w:vertAlign w:val="superscript"/>
          <w:lang w:val="en-US"/>
        </w:rPr>
        <w:t>+</w:t>
      </w:r>
      <w:r w:rsidRPr="00606FCE">
        <w:rPr>
          <w:rFonts w:ascii="Times New Roman" w:hAnsi="Times New Roman" w:cs="Times New Roman"/>
          <w:color w:val="auto"/>
          <w:lang w:val="en-US"/>
        </w:rPr>
        <w:t>Sirpα</w:t>
      </w:r>
      <w:r w:rsidRPr="00606FCE">
        <w:rPr>
          <w:rFonts w:ascii="Times New Roman" w:hAnsi="Times New Roman" w:cs="Times New Roman"/>
          <w:color w:val="auto"/>
          <w:vertAlign w:val="superscript"/>
          <w:lang w:val="en-US"/>
        </w:rPr>
        <w:t>-/low</w:t>
      </w:r>
      <w:r w:rsidRPr="00606FCE">
        <w:rPr>
          <w:rFonts w:ascii="Times New Roman" w:hAnsi="Times New Roman" w:cs="Times New Roman"/>
          <w:color w:val="auto"/>
          <w:lang w:val="en-US"/>
        </w:rPr>
        <w:t xml:space="preserve"> and Siglec-H</w:t>
      </w:r>
      <w:r w:rsidRPr="00606FCE">
        <w:rPr>
          <w:rFonts w:ascii="Times New Roman" w:hAnsi="Times New Roman" w:cs="Times New Roman"/>
          <w:color w:val="auto"/>
          <w:vertAlign w:val="superscript"/>
          <w:lang w:val="en-US"/>
        </w:rPr>
        <w:t>-</w:t>
      </w:r>
      <w:r w:rsidRPr="00606FCE">
        <w:rPr>
          <w:rFonts w:ascii="Times New Roman" w:hAnsi="Times New Roman" w:cs="Times New Roman"/>
          <w:color w:val="auto"/>
          <w:lang w:val="en-US"/>
        </w:rPr>
        <w:t>Ly6C</w:t>
      </w:r>
      <w:r w:rsidRPr="00606FCE">
        <w:rPr>
          <w:rFonts w:ascii="Times New Roman" w:hAnsi="Times New Roman" w:cs="Times New Roman"/>
          <w:color w:val="auto"/>
          <w:vertAlign w:val="superscript"/>
          <w:lang w:val="en-US"/>
        </w:rPr>
        <w:t>-</w:t>
      </w:r>
      <w:r w:rsidRPr="00606FCE">
        <w:rPr>
          <w:rFonts w:ascii="Times New Roman" w:hAnsi="Times New Roman" w:cs="Times New Roman"/>
          <w:color w:val="auto"/>
          <w:lang w:val="en-US"/>
        </w:rPr>
        <w:t xml:space="preserve"> for cDC1-biaised pre-DCs or Siglec-H</w:t>
      </w:r>
      <w:r w:rsidRPr="00606FCE">
        <w:rPr>
          <w:rFonts w:ascii="Times New Roman" w:hAnsi="Times New Roman" w:cs="Times New Roman"/>
          <w:color w:val="auto"/>
          <w:vertAlign w:val="superscript"/>
          <w:lang w:val="en-US"/>
        </w:rPr>
        <w:t>-</w:t>
      </w:r>
      <w:r w:rsidRPr="00606FCE">
        <w:rPr>
          <w:rFonts w:ascii="Times New Roman" w:hAnsi="Times New Roman" w:cs="Times New Roman"/>
          <w:color w:val="auto"/>
          <w:lang w:val="en-US"/>
        </w:rPr>
        <w:t>Ly6C</w:t>
      </w:r>
      <w:r w:rsidRPr="00606FCE">
        <w:rPr>
          <w:rFonts w:ascii="Times New Roman" w:hAnsi="Times New Roman" w:cs="Times New Roman"/>
          <w:color w:val="auto"/>
          <w:vertAlign w:val="superscript"/>
          <w:lang w:val="en-US"/>
        </w:rPr>
        <w:t>+</w:t>
      </w:r>
      <w:r w:rsidRPr="00606FCE">
        <w:rPr>
          <w:rFonts w:ascii="Times New Roman" w:hAnsi="Times New Roman" w:cs="Times New Roman"/>
          <w:color w:val="auto"/>
          <w:lang w:val="en-US"/>
        </w:rPr>
        <w:t xml:space="preserve"> for cDC2-biaised pre-DCs; (</w:t>
      </w:r>
      <w:proofErr w:type="spellStart"/>
      <w:r w:rsidRPr="00606FCE">
        <w:rPr>
          <w:rFonts w:ascii="Times New Roman" w:hAnsi="Times New Roman" w:cs="Times New Roman"/>
          <w:color w:val="auto"/>
          <w:lang w:val="en-US"/>
        </w:rPr>
        <w:t>cMoPs</w:t>
      </w:r>
      <w:proofErr w:type="spellEnd"/>
      <w:r w:rsidRPr="00606FCE">
        <w:rPr>
          <w:rFonts w:ascii="Times New Roman" w:hAnsi="Times New Roman" w:cs="Times New Roman"/>
          <w:color w:val="auto"/>
          <w:lang w:val="en-US"/>
        </w:rPr>
        <w:t>): Lin(*)</w:t>
      </w:r>
      <w:r w:rsidRPr="00606FCE">
        <w:rPr>
          <w:rFonts w:ascii="Times New Roman" w:hAnsi="Times New Roman" w:cs="Times New Roman"/>
          <w:color w:val="auto"/>
          <w:vertAlign w:val="superscript"/>
          <w:lang w:val="en-US"/>
        </w:rPr>
        <w:t>-</w:t>
      </w:r>
      <w:r w:rsidRPr="00606FCE">
        <w:rPr>
          <w:rFonts w:ascii="Times New Roman" w:hAnsi="Times New Roman" w:cs="Times New Roman"/>
          <w:color w:val="auto"/>
          <w:lang w:val="en-US"/>
        </w:rPr>
        <w:t>CD11b</w:t>
      </w:r>
      <w:r w:rsidRPr="00606FCE">
        <w:rPr>
          <w:rFonts w:ascii="Times New Roman" w:hAnsi="Times New Roman" w:cs="Times New Roman"/>
          <w:color w:val="auto"/>
          <w:vertAlign w:val="superscript"/>
          <w:lang w:val="en-US"/>
        </w:rPr>
        <w:t>-</w:t>
      </w:r>
      <w:r w:rsidRPr="00606FCE">
        <w:rPr>
          <w:rFonts w:ascii="Times New Roman" w:hAnsi="Times New Roman" w:cs="Times New Roman"/>
          <w:color w:val="auto"/>
          <w:lang w:val="en-US"/>
        </w:rPr>
        <w:t>CD117</w:t>
      </w:r>
      <w:r w:rsidRPr="00606FCE">
        <w:rPr>
          <w:rFonts w:ascii="Times New Roman" w:hAnsi="Times New Roman" w:cs="Times New Roman"/>
          <w:color w:val="auto"/>
          <w:vertAlign w:val="superscript"/>
          <w:lang w:val="en-US"/>
        </w:rPr>
        <w:t>+</w:t>
      </w:r>
      <w:r w:rsidRPr="00606FCE">
        <w:rPr>
          <w:rFonts w:ascii="Times New Roman" w:hAnsi="Times New Roman" w:cs="Times New Roman"/>
          <w:color w:val="auto"/>
          <w:lang w:val="en-US"/>
        </w:rPr>
        <w:t>CD135</w:t>
      </w:r>
      <w:r w:rsidRPr="00606FCE">
        <w:rPr>
          <w:rFonts w:ascii="Times New Roman" w:hAnsi="Times New Roman" w:cs="Times New Roman"/>
          <w:color w:val="auto"/>
          <w:vertAlign w:val="superscript"/>
          <w:lang w:val="en-US"/>
        </w:rPr>
        <w:t>-</w:t>
      </w:r>
      <w:r w:rsidRPr="00606FCE">
        <w:rPr>
          <w:rFonts w:ascii="Times New Roman" w:hAnsi="Times New Roman" w:cs="Times New Roman"/>
          <w:color w:val="auto"/>
          <w:lang w:val="en-US"/>
        </w:rPr>
        <w:t>CD115</w:t>
      </w:r>
      <w:r w:rsidRPr="00606FCE">
        <w:rPr>
          <w:rFonts w:ascii="Times New Roman" w:hAnsi="Times New Roman" w:cs="Times New Roman"/>
          <w:color w:val="auto"/>
          <w:vertAlign w:val="superscript"/>
          <w:lang w:val="en-US"/>
        </w:rPr>
        <w:t>+</w:t>
      </w:r>
      <w:r w:rsidRPr="00606FCE">
        <w:rPr>
          <w:rFonts w:ascii="Times New Roman" w:hAnsi="Times New Roman" w:cs="Times New Roman"/>
          <w:color w:val="auto"/>
          <w:lang w:val="en-US"/>
        </w:rPr>
        <w:t>Ly6C</w:t>
      </w:r>
      <w:r w:rsidRPr="00606FCE">
        <w:rPr>
          <w:rFonts w:ascii="Times New Roman" w:hAnsi="Times New Roman" w:cs="Times New Roman"/>
          <w:color w:val="auto"/>
          <w:vertAlign w:val="superscript"/>
          <w:lang w:val="en-US"/>
        </w:rPr>
        <w:t>+</w:t>
      </w:r>
      <w:r w:rsidRPr="00606FCE">
        <w:rPr>
          <w:rFonts w:ascii="Times New Roman" w:hAnsi="Times New Roman" w:cs="Times New Roman"/>
          <w:color w:val="auto"/>
          <w:lang w:val="en-US"/>
        </w:rPr>
        <w:t xml:space="preserve"> and (monocytes): Lin(*)</w:t>
      </w:r>
      <w:r w:rsidRPr="00606FCE">
        <w:rPr>
          <w:rFonts w:ascii="Times New Roman" w:hAnsi="Times New Roman" w:cs="Times New Roman"/>
          <w:color w:val="auto"/>
          <w:vertAlign w:val="superscript"/>
          <w:lang w:val="en-US"/>
        </w:rPr>
        <w:t>-</w:t>
      </w:r>
      <w:r w:rsidRPr="00606FCE">
        <w:rPr>
          <w:rFonts w:ascii="Times New Roman" w:hAnsi="Times New Roman" w:cs="Times New Roman"/>
          <w:color w:val="auto"/>
          <w:lang w:val="en-US"/>
        </w:rPr>
        <w:t>CD11b</w:t>
      </w:r>
      <w:r w:rsidRPr="00606FCE">
        <w:rPr>
          <w:rFonts w:ascii="Times New Roman" w:hAnsi="Times New Roman" w:cs="Times New Roman"/>
          <w:color w:val="auto"/>
          <w:vertAlign w:val="superscript"/>
          <w:lang w:val="en-US"/>
        </w:rPr>
        <w:t>+</w:t>
      </w:r>
      <w:r w:rsidRPr="00606FCE">
        <w:rPr>
          <w:rFonts w:ascii="Times New Roman" w:hAnsi="Times New Roman" w:cs="Times New Roman"/>
          <w:color w:val="auto"/>
          <w:lang w:val="en-US"/>
        </w:rPr>
        <w:t>CD115</w:t>
      </w:r>
      <w:r w:rsidRPr="00606FCE">
        <w:rPr>
          <w:rFonts w:ascii="Times New Roman" w:hAnsi="Times New Roman" w:cs="Times New Roman"/>
          <w:color w:val="auto"/>
          <w:vertAlign w:val="superscript"/>
          <w:lang w:val="en-US"/>
        </w:rPr>
        <w:t>+</w:t>
      </w:r>
      <w:r w:rsidRPr="00606FCE">
        <w:rPr>
          <w:rFonts w:ascii="Times New Roman" w:hAnsi="Times New Roman" w:cs="Times New Roman"/>
          <w:color w:val="auto"/>
          <w:lang w:val="en-US"/>
        </w:rPr>
        <w:t>Ly6C</w:t>
      </w:r>
      <w:r w:rsidRPr="00606FCE">
        <w:rPr>
          <w:rFonts w:ascii="Times New Roman" w:hAnsi="Times New Roman" w:cs="Times New Roman"/>
          <w:color w:val="auto"/>
          <w:vertAlign w:val="superscript"/>
          <w:lang w:val="en-US"/>
        </w:rPr>
        <w:t>high</w:t>
      </w:r>
      <w:r w:rsidRPr="00606FCE">
        <w:rPr>
          <w:rFonts w:ascii="Times New Roman" w:hAnsi="Times New Roman" w:cs="Times New Roman"/>
          <w:color w:val="auto"/>
          <w:lang w:val="en-US"/>
        </w:rPr>
        <w:t xml:space="preserve"> (inflammatory monocytes) or Ly6C</w:t>
      </w:r>
      <w:r w:rsidRPr="00606FCE">
        <w:rPr>
          <w:rFonts w:ascii="Times New Roman" w:hAnsi="Times New Roman" w:cs="Times New Roman"/>
          <w:color w:val="auto"/>
          <w:vertAlign w:val="superscript"/>
          <w:lang w:val="en-US"/>
        </w:rPr>
        <w:t>low/neg</w:t>
      </w:r>
      <w:r w:rsidRPr="00606FCE">
        <w:rPr>
          <w:rFonts w:ascii="Times New Roman" w:hAnsi="Times New Roman" w:cs="Times New Roman"/>
          <w:color w:val="auto"/>
          <w:lang w:val="en-US"/>
        </w:rPr>
        <w:t xml:space="preserve"> (patrolling monocytes). Dead cells were excluded by propidium iodide staining. For analysis, 5x10</w:t>
      </w:r>
      <w:r w:rsidRPr="00606FCE">
        <w:rPr>
          <w:rFonts w:ascii="Times New Roman" w:hAnsi="Times New Roman" w:cs="Times New Roman"/>
          <w:color w:val="auto"/>
          <w:vertAlign w:val="superscript"/>
          <w:lang w:val="en-US"/>
        </w:rPr>
        <w:t>5</w:t>
      </w:r>
      <w:r w:rsidRPr="00606FCE">
        <w:rPr>
          <w:rFonts w:ascii="Times New Roman" w:hAnsi="Times New Roman" w:cs="Times New Roman"/>
          <w:color w:val="auto"/>
          <w:lang w:val="en-US"/>
        </w:rPr>
        <w:t>-10</w:t>
      </w:r>
      <w:r w:rsidRPr="00606FCE">
        <w:rPr>
          <w:rFonts w:ascii="Times New Roman" w:hAnsi="Times New Roman" w:cs="Times New Roman"/>
          <w:color w:val="auto"/>
          <w:vertAlign w:val="superscript"/>
          <w:lang w:val="en-US"/>
        </w:rPr>
        <w:t>6</w:t>
      </w:r>
      <w:r w:rsidRPr="00606FCE">
        <w:rPr>
          <w:rFonts w:ascii="Times New Roman" w:hAnsi="Times New Roman" w:cs="Times New Roman"/>
          <w:color w:val="auto"/>
          <w:lang w:val="en-US"/>
        </w:rPr>
        <w:t xml:space="preserve"> CD45</w:t>
      </w:r>
      <w:r w:rsidRPr="00606FCE">
        <w:rPr>
          <w:rFonts w:ascii="Times New Roman" w:hAnsi="Times New Roman" w:cs="Times New Roman"/>
          <w:color w:val="auto"/>
          <w:vertAlign w:val="superscript"/>
          <w:lang w:val="en-US"/>
        </w:rPr>
        <w:t>+</w:t>
      </w:r>
      <w:r w:rsidRPr="00606FCE">
        <w:rPr>
          <w:rFonts w:ascii="Times New Roman" w:hAnsi="Times New Roman" w:cs="Times New Roman"/>
          <w:color w:val="auto"/>
          <w:lang w:val="en-US"/>
        </w:rPr>
        <w:t xml:space="preserve"> cells were acquired and the data were analyzed with </w:t>
      </w:r>
      <w:proofErr w:type="spellStart"/>
      <w:r w:rsidRPr="00606FCE">
        <w:rPr>
          <w:rFonts w:ascii="Times New Roman" w:hAnsi="Times New Roman" w:cs="Times New Roman"/>
          <w:color w:val="auto"/>
          <w:lang w:val="en-US"/>
        </w:rPr>
        <w:t>FACSDiva</w:t>
      </w:r>
      <w:proofErr w:type="spellEnd"/>
      <w:r w:rsidRPr="00606FCE">
        <w:rPr>
          <w:rFonts w:ascii="Times New Roman" w:hAnsi="Times New Roman" w:cs="Times New Roman"/>
          <w:color w:val="auto"/>
          <w:lang w:val="en-US"/>
        </w:rPr>
        <w:t xml:space="preserve"> or </w:t>
      </w:r>
      <w:proofErr w:type="spellStart"/>
      <w:r w:rsidRPr="00606FCE">
        <w:rPr>
          <w:rFonts w:ascii="Times New Roman" w:hAnsi="Times New Roman" w:cs="Times New Roman"/>
          <w:color w:val="auto"/>
          <w:lang w:val="en-US"/>
        </w:rPr>
        <w:t>FlowJo</w:t>
      </w:r>
      <w:proofErr w:type="spellEnd"/>
      <w:r w:rsidRPr="00606FCE">
        <w:rPr>
          <w:rFonts w:ascii="Times New Roman" w:hAnsi="Times New Roman" w:cs="Times New Roman"/>
          <w:color w:val="auto"/>
          <w:lang w:val="en-US"/>
        </w:rPr>
        <w:t xml:space="preserve"> software (</w:t>
      </w:r>
      <w:proofErr w:type="spellStart"/>
      <w:r w:rsidRPr="00606FCE">
        <w:rPr>
          <w:rFonts w:ascii="Times New Roman" w:hAnsi="Times New Roman" w:cs="Times New Roman"/>
          <w:color w:val="auto"/>
          <w:lang w:val="en-US"/>
        </w:rPr>
        <w:t>TreeStar</w:t>
      </w:r>
      <w:proofErr w:type="spellEnd"/>
      <w:r w:rsidRPr="00606FCE">
        <w:rPr>
          <w:rFonts w:ascii="Times New Roman" w:hAnsi="Times New Roman" w:cs="Times New Roman"/>
          <w:color w:val="auto"/>
          <w:lang w:val="en-US"/>
        </w:rPr>
        <w:t>, US). Lin*: CD3, NK1.1, Ter119, CD45R/B220, Ly6G.</w:t>
      </w:r>
    </w:p>
    <w:p w14:paraId="7A477E7B" w14:textId="0528CB59" w:rsidR="005A4806" w:rsidRPr="00606FCE" w:rsidRDefault="00C55050" w:rsidP="00A62E5D">
      <w:pPr>
        <w:snapToGrid w:val="0"/>
        <w:spacing w:before="120" w:line="480" w:lineRule="auto"/>
        <w:jc w:val="both"/>
        <w:outlineLvl w:val="0"/>
        <w:rPr>
          <w:b/>
          <w:lang w:val="en-GB"/>
        </w:rPr>
      </w:pPr>
      <w:r>
        <w:rPr>
          <w:b/>
          <w:lang w:val="en-GB"/>
        </w:rPr>
        <w:t>Microbiome</w:t>
      </w:r>
      <w:r w:rsidR="0038629F">
        <w:rPr>
          <w:b/>
          <w:lang w:val="en-GB"/>
        </w:rPr>
        <w:t xml:space="preserve"> analysis</w:t>
      </w:r>
    </w:p>
    <w:p w14:paraId="23CC2AC6" w14:textId="0CA37C05" w:rsidR="005A4806" w:rsidRDefault="005A4806" w:rsidP="00A62E5D">
      <w:pPr>
        <w:snapToGrid w:val="0"/>
        <w:spacing w:before="120" w:line="480" w:lineRule="auto"/>
        <w:jc w:val="both"/>
        <w:rPr>
          <w:lang w:val="en-GB"/>
        </w:rPr>
      </w:pPr>
      <w:r w:rsidRPr="00A4177F">
        <w:rPr>
          <w:lang w:val="en-GB"/>
        </w:rPr>
        <w:t xml:space="preserve">Total DNA concentration was measured using </w:t>
      </w:r>
      <w:proofErr w:type="spellStart"/>
      <w:r w:rsidRPr="00A4177F">
        <w:rPr>
          <w:lang w:val="en-GB"/>
        </w:rPr>
        <w:t>Picogreen</w:t>
      </w:r>
      <w:proofErr w:type="spellEnd"/>
      <w:r w:rsidRPr="00A4177F">
        <w:rPr>
          <w:lang w:val="en-GB"/>
        </w:rPr>
        <w:t xml:space="preserve"> (Invitrogen). Global 16S gene DNA copy numbers were determined by a qPCR adapted from </w:t>
      </w:r>
      <w:r w:rsidRPr="004F44D1">
        <w:rPr>
          <w:lang w:val="en-GB"/>
        </w:rPr>
        <w:t xml:space="preserve">Maeda </w:t>
      </w:r>
      <w:r w:rsidRPr="004F44D1">
        <w:rPr>
          <w:i/>
          <w:lang w:val="en-GB"/>
        </w:rPr>
        <w:t>et al</w:t>
      </w:r>
      <w:r w:rsidRPr="004F44D1">
        <w:rPr>
          <w:lang w:val="en-GB"/>
        </w:rPr>
        <w:t>.</w:t>
      </w:r>
      <w:r w:rsidR="0038629F" w:rsidRPr="004F44D1">
        <w:rPr>
          <w:lang w:val="en-GB"/>
        </w:rPr>
        <w:t xml:space="preserve"> (</w:t>
      </w:r>
      <w:r w:rsidR="004F44D1" w:rsidRPr="004F44D1">
        <w:rPr>
          <w:lang w:val="en-GB"/>
        </w:rPr>
        <w:t xml:space="preserve">Maeda H et al. FEMS Immunol Med </w:t>
      </w:r>
      <w:proofErr w:type="spellStart"/>
      <w:r w:rsidR="004F44D1" w:rsidRPr="004F44D1">
        <w:rPr>
          <w:lang w:val="en-GB"/>
        </w:rPr>
        <w:t>Microbiol</w:t>
      </w:r>
      <w:proofErr w:type="spellEnd"/>
      <w:r w:rsidR="004F44D1" w:rsidRPr="004F44D1">
        <w:rPr>
          <w:lang w:val="en-GB"/>
        </w:rPr>
        <w:t>.  2003 Oct 24;39(1):81-6</w:t>
      </w:r>
      <w:r w:rsidR="0038629F" w:rsidRPr="004F44D1">
        <w:rPr>
          <w:lang w:val="en-GB"/>
        </w:rPr>
        <w:t>)</w:t>
      </w:r>
      <w:r w:rsidRPr="004F44D1">
        <w:rPr>
          <w:lang w:val="en-GB"/>
        </w:rPr>
        <w:t xml:space="preserve">, allowing for inhibition effect estimation </w:t>
      </w:r>
      <w:r w:rsidRPr="004F44D1">
        <w:rPr>
          <w:lang w:val="en-GB"/>
        </w:rPr>
        <w:lastRenderedPageBreak/>
        <w:t>and DNA concentration adjustment. The sequence region of the 16S rRNA gene spanning variable region V3–V4 was amplified using the broad-range forward primer: Bact-0341, 5′-CCT ACG GGN GGC WGC AG-3′ and reverse primer: Bact-0785, 5′-GAC TAC HVGGG TAT CTA ATC C-3′ (</w:t>
      </w:r>
      <w:proofErr w:type="spellStart"/>
      <w:r w:rsidR="004F44D1" w:rsidRPr="004F44D1">
        <w:rPr>
          <w:lang w:val="en-GB"/>
        </w:rPr>
        <w:t>Klindworth</w:t>
      </w:r>
      <w:proofErr w:type="spellEnd"/>
      <w:r w:rsidR="004F44D1" w:rsidRPr="004F44D1">
        <w:rPr>
          <w:lang w:val="en-GB"/>
        </w:rPr>
        <w:t xml:space="preserve"> A et al. Nucleic Acids Res. 2013;41(1</w:t>
      </w:r>
      <w:proofErr w:type="gramStart"/>
      <w:r w:rsidR="004F44D1" w:rsidRPr="004F44D1">
        <w:rPr>
          <w:lang w:val="en-GB"/>
        </w:rPr>
        <w:t>):e</w:t>
      </w:r>
      <w:proofErr w:type="gramEnd"/>
      <w:r w:rsidR="004F44D1" w:rsidRPr="004F44D1">
        <w:rPr>
          <w:lang w:val="en-GB"/>
        </w:rPr>
        <w:t>1</w:t>
      </w:r>
      <w:r w:rsidR="004F44D1">
        <w:rPr>
          <w:lang w:val="en-GB"/>
        </w:rPr>
        <w:t>)</w:t>
      </w:r>
      <w:r w:rsidRPr="004F44D1">
        <w:rPr>
          <w:lang w:val="en-GB"/>
        </w:rPr>
        <w:t xml:space="preserve">. Individual samples were barcoded, pooled to construct the sequencing library, and then sequenced using an Illumina </w:t>
      </w:r>
      <w:proofErr w:type="spellStart"/>
      <w:r w:rsidRPr="004F44D1">
        <w:rPr>
          <w:lang w:val="en-GB"/>
        </w:rPr>
        <w:t>Miseq</w:t>
      </w:r>
      <w:proofErr w:type="spellEnd"/>
      <w:r w:rsidRPr="004F44D1">
        <w:rPr>
          <w:lang w:val="en-GB"/>
        </w:rPr>
        <w:t xml:space="preserve"> (Illumina, San Diego, CA) generating paired</w:t>
      </w:r>
      <w:r w:rsidRPr="00A4177F">
        <w:rPr>
          <w:lang w:val="en-GB"/>
        </w:rPr>
        <w:t xml:space="preserve">-end 2 × 300 </w:t>
      </w:r>
      <w:proofErr w:type="spellStart"/>
      <w:r w:rsidRPr="00A4177F">
        <w:rPr>
          <w:lang w:val="en-GB"/>
        </w:rPr>
        <w:t>bp</w:t>
      </w:r>
      <w:proofErr w:type="spellEnd"/>
      <w:r w:rsidRPr="00A4177F">
        <w:rPr>
          <w:lang w:val="en-GB"/>
        </w:rPr>
        <w:t xml:space="preserve"> reads.</w:t>
      </w:r>
    </w:p>
    <w:p w14:paraId="6A91AB98" w14:textId="7BD054BD" w:rsidR="005A4806" w:rsidRPr="00A62E5D" w:rsidRDefault="005A4806" w:rsidP="00A62E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480" w:lineRule="auto"/>
        <w:jc w:val="both"/>
        <w:rPr>
          <w:rFonts w:eastAsiaTheme="minorHAnsi"/>
          <w:lang w:val="en-US" w:eastAsia="en-US"/>
        </w:rPr>
      </w:pPr>
      <w:r w:rsidRPr="00DF4D70">
        <w:rPr>
          <w:color w:val="000000" w:themeColor="text1"/>
          <w:lang w:val="en-US"/>
        </w:rPr>
        <w:t>Microbiome data were analyzed using QIIME 2 2020.2</w:t>
      </w:r>
      <w:r>
        <w:rPr>
          <w:color w:val="000000" w:themeColor="text1"/>
          <w:lang w:val="en-US"/>
        </w:rPr>
        <w:t xml:space="preserve"> </w:t>
      </w:r>
      <w:r w:rsidRPr="00A62E5D">
        <w:rPr>
          <w:rFonts w:eastAsiaTheme="minorHAnsi"/>
          <w:lang w:val="en-US" w:eastAsia="en-US"/>
        </w:rPr>
        <w:fldChar w:fldCharType="begin"/>
      </w:r>
      <w:r w:rsidRPr="00A62E5D">
        <w:rPr>
          <w:rFonts w:eastAsiaTheme="minorHAnsi"/>
          <w:lang w:val="en-US" w:eastAsia="en-US"/>
        </w:rPr>
        <w:instrText xml:space="preserve"> ADDIN PAPERS2_CITATIONS &lt;citation&gt;&lt;priority&gt;6&lt;/priority&gt;&lt;uuid&gt;6878020D-EDDE-41A8-A021-2A2CEB396F2B&lt;/uuid&gt;&lt;publications&gt;&lt;publication&gt;&lt;subtype&gt;400&lt;/subtype&gt;&lt;title&gt;Reproducible, interactive, scalable and extensible microbiome data science using QIIME 2.&lt;/title&gt;&lt;url&gt;http://www.nature.com/articles/s41587-019-0209-9&lt;/url&gt;&lt;volume&gt;37&lt;/volume&gt;&lt;publication_date&gt;99201908001200000000220000&lt;/publication_date&gt;&lt;uuid&gt;0C4B03AC-8B46-4F4F-AFC2-F7A7BB234B17&lt;/uuid&gt;&lt;type&gt;400&lt;/type&gt;&lt;number&gt;8&lt;/number&gt;&lt;doi&gt;10.1038/s41587-019-0209-9&lt;/doi&gt;&lt;institution&gt;Center for Applied Microbiome Science, Pathogen and Microbiome Institute, Northern Arizona University, Flagstaff, AZ, USA.&lt;/institution&gt;&lt;startpage&gt;852&lt;/startpage&gt;&lt;endpage&gt;857&lt;/endpage&gt;&lt;bundle&gt;&lt;publication&gt;&lt;title&gt;Nature biotechnology&lt;/title&gt;&lt;uuid&gt;8BB36721-ABBB-4241-8A46-5B37CED580F1&lt;/uuid&gt;&lt;subtype&gt;-100&lt;/subtype&gt;&lt;type&gt;-100&lt;/type&gt;&lt;/publication&gt;&lt;/bundle&gt;&lt;authors&gt;&lt;author&gt;&lt;lastName&gt;Bolyen&lt;/lastName&gt;&lt;firstName&gt;Evan&lt;/firstName&gt;&lt;/author&gt;&lt;author&gt;&lt;lastName&gt;Rideout&lt;/lastName&gt;&lt;firstName&gt;Jai&lt;/firstName&gt;&lt;middleNames&gt;Ram&lt;/middleNames&gt;&lt;/author&gt;&lt;author&gt;&lt;lastName&gt;Dillon&lt;/lastName&gt;&lt;firstName&gt;Matthew&lt;/firstName&gt;&lt;middleNames&gt;R&lt;/middleNames&gt;&lt;/author&gt;&lt;author&gt;&lt;lastName&gt;Bokulich&lt;/lastName&gt;&lt;firstName&gt;Nicholas&lt;/firstName&gt;&lt;middleNames&gt;A&lt;/middleNames&gt;&lt;/author&gt;&lt;author&gt;&lt;lastName&gt;Abnet&lt;/lastName&gt;&lt;firstName&gt;Christian&lt;/firstName&gt;&lt;middleNames&gt;C&lt;/middleNames&gt;&lt;/author&gt;&lt;author&gt;&lt;lastName&gt;Al-Ghalith&lt;/lastName&gt;&lt;firstName&gt;Gabriel&lt;/firstName&gt;&lt;middleNames&gt;A&lt;/middleNames&gt;&lt;/author&gt;&lt;author&gt;&lt;lastName&gt;Alexander&lt;/lastName&gt;&lt;firstName&gt;Harriet&lt;/firstName&gt;&lt;/author&gt;&lt;author&gt;&lt;lastName&gt;Alm&lt;/lastName&gt;&lt;firstName&gt;Eric&lt;/firstName&gt;&lt;middleNames&gt;J&lt;/middleNames&gt;&lt;/author&gt;&lt;author&gt;&lt;lastName&gt;Arumugam&lt;/lastName&gt;&lt;firstName&gt;Manimozhiyan&lt;/firstName&gt;&lt;/author&gt;&lt;author&gt;&lt;lastName&gt;Asnicar&lt;/lastName&gt;&lt;firstName&gt;Francesco&lt;/firstName&gt;&lt;/author&gt;&lt;author&gt;&lt;lastName&gt;Bai&lt;/lastName&gt;&lt;firstName&gt;Yang&lt;/firstName&gt;&lt;/author&gt;&lt;author&gt;&lt;lastName&gt;Bisanz&lt;/lastName&gt;&lt;firstName&gt;Jordan&lt;/firstName&gt;&lt;middleNames&gt;E&lt;/middleNames&gt;&lt;/author&gt;&lt;author&gt;&lt;lastName&gt;Bittinger&lt;/lastName&gt;&lt;firstName&gt;Kyle&lt;/firstName&gt;&lt;/author&gt;&lt;author&gt;&lt;lastName&gt;Brejnrod&lt;/lastName&gt;&lt;firstName&gt;Asker&lt;/firstName&gt;&lt;/author&gt;&lt;author&gt;&lt;lastName&gt;Brislawn&lt;/lastName&gt;&lt;firstName&gt;Colin&lt;/firstName&gt;&lt;middleNames&gt;J&lt;/middleNames&gt;&lt;/author&gt;&lt;author&gt;&lt;lastName&gt;Brown&lt;/lastName&gt;&lt;firstName&gt;C&lt;/firstName&gt;&lt;middleNames&gt;Titus&lt;/middleNames&gt;&lt;/author&gt;&lt;author&gt;&lt;lastName&gt;Callahan&lt;/lastName&gt;&lt;firstName&gt;Benjamin&lt;/firstName&gt;&lt;middleNames&gt;J&lt;/middleNames&gt;&lt;/author&gt;&lt;author&gt;&lt;lastName&gt;Caraballo-Rodríguez&lt;/lastName&gt;&lt;firstName&gt;Andrés&lt;/firstName&gt;&lt;middleNames&gt;Mauricio&lt;/middleNames&gt;&lt;/author&gt;&lt;author&gt;&lt;lastName&gt;Chase&lt;/lastName&gt;&lt;firstName&gt;John&lt;/firstName&gt;&lt;/author&gt;&lt;author&gt;&lt;lastName&gt;Cope&lt;/lastName&gt;&lt;firstName&gt;Emily&lt;/firstName&gt;&lt;middleNames&gt;K&lt;/middleNames&gt;&lt;/author&gt;&lt;author&gt;&lt;lastName&gt;Silva&lt;/lastName&gt;&lt;nonDroppingParticle&gt;Da&lt;/nonDroppingParticle&gt;&lt;firstName&gt;Ricardo&lt;/firstName&gt;&lt;/author&gt;&lt;author&gt;&lt;lastName&gt;Diener&lt;/lastName&gt;&lt;firstName&gt;Christian&lt;/firstName&gt;&lt;/author&gt;&lt;author&gt;&lt;lastName&gt;Dorrestein&lt;/lastName&gt;&lt;firstName&gt;Pieter&lt;/firstName&gt;&lt;middleNames&gt;C&lt;/middleNames&gt;&lt;/author&gt;&lt;author&gt;&lt;lastName&gt;Douglas&lt;/lastName&gt;&lt;firstName&gt;Gavin&lt;/firstName&gt;&lt;middleNames&gt;M&lt;/middleNames&gt;&lt;/author&gt;&lt;author&gt;&lt;lastName&gt;Durall&lt;/lastName&gt;&lt;firstName&gt;Daniel&lt;/firstName&gt;&lt;middleNames&gt;M&lt;/middleNames&gt;&lt;/author&gt;&lt;author&gt;&lt;lastName&gt;Duvallet&lt;/lastName&gt;&lt;firstName&gt;Claire&lt;/firstName&gt;&lt;/author&gt;&lt;author&gt;&lt;lastName&gt;Edwardson&lt;/lastName&gt;&lt;firstName&gt;Christian&lt;/firstName&gt;&lt;middleNames&gt;F&lt;/middleNames&gt;&lt;/author&gt;&lt;author&gt;&lt;lastName&gt;Ernst&lt;/lastName&gt;&lt;firstName&gt;Madeleine&lt;/firstName&gt;&lt;/author&gt;&lt;author&gt;&lt;lastName&gt;Estaki&lt;/lastName&gt;&lt;firstName&gt;Mehrbod&lt;/firstName&gt;&lt;/author&gt;&lt;author&gt;&lt;lastName&gt;Fouquier&lt;/lastName&gt;&lt;firstName&gt;Jennifer&lt;/firstName&gt;&lt;/author&gt;&lt;author&gt;&lt;lastName&gt;Gauglitz&lt;/lastName&gt;&lt;firstName&gt;Julia&lt;/firstName&gt;&lt;middleNames&gt;M&lt;/middleNames&gt;&lt;/author&gt;&lt;author&gt;&lt;lastName&gt;Gibbons&lt;/lastName&gt;&lt;firstName&gt;Sean&lt;/firstName&gt;&lt;middleNames&gt;M&lt;/middleNames&gt;&lt;/author&gt;&lt;author&gt;&lt;lastName&gt;Gibson&lt;/lastName&gt;&lt;firstName&gt;Deanna&lt;/firstName&gt;&lt;middleNames&gt;L&lt;/middleNames&gt;&lt;/author&gt;&lt;author&gt;&lt;lastName&gt;Gonzalez&lt;/lastName&gt;&lt;firstName&gt;Antonio&lt;/firstName&gt;&lt;/author&gt;&lt;author&gt;&lt;lastName&gt;Gorlick&lt;/lastName&gt;&lt;firstName&gt;Kestrel&lt;/firstName&gt;&lt;/author&gt;&lt;author&gt;&lt;lastName&gt;Guo&lt;/lastName&gt;&lt;firstName&gt;Jiarong&lt;/firstName&gt;&lt;/author&gt;&lt;author&gt;&lt;lastName&gt;Hillmann&lt;/lastName&gt;&lt;firstName&gt;Benjamin&lt;/firstName&gt;&lt;/author&gt;&lt;author&gt;&lt;lastName&gt;Holmes&lt;/lastName&gt;&lt;firstName&gt;Susan&lt;/firstName&gt;&lt;/author&gt;&lt;author&gt;&lt;lastName&gt;Holste&lt;/lastName&gt;&lt;firstName&gt;Hannes&lt;/firstName&gt;&lt;/author&gt;&lt;author&gt;&lt;lastName&gt;Huttenhower&lt;/lastName&gt;&lt;firstName&gt;Curtis&lt;/firstName&gt;&lt;/author&gt;&lt;author&gt;&lt;lastName&gt;Huttley&lt;/lastName&gt;&lt;firstName&gt;Gavin&lt;/firstName&gt;&lt;middleNames&gt;A&lt;/middleNames&gt;&lt;/author&gt;&lt;author&gt;&lt;lastName&gt;Janssen&lt;/lastName&gt;&lt;firstName&gt;Stefan&lt;/firstName&gt;&lt;/author&gt;&lt;author&gt;&lt;lastName&gt;Jarmusch&lt;/lastName&gt;&lt;firstName&gt;Alan&lt;/firstName&gt;&lt;middleNames&gt;K&lt;/middleNames&gt;&lt;/author&gt;&lt;author&gt;&lt;lastName&gt;Jiang&lt;/lastName&gt;&lt;firstName&gt;Lingjing&lt;/firstName&gt;&lt;/author&gt;&lt;author&gt;&lt;lastName&gt;Kaehler&lt;/lastName&gt;&lt;firstName&gt;Benjamin&lt;/firstName&gt;&lt;middleNames&gt;D&lt;/middleNames&gt;&lt;/author&gt;&lt;author&gt;&lt;lastName&gt;Kang&lt;/lastName&gt;&lt;firstName&gt;Kyo&lt;/firstName&gt;&lt;middleNames&gt;Bin&lt;/middleNames&gt;&lt;/author&gt;&lt;author&gt;&lt;lastName&gt;Keefe&lt;/lastName&gt;&lt;firstName&gt;Christopher&lt;/firstName&gt;&lt;middleNames&gt;R&lt;/middleNames&gt;&lt;/author&gt;&lt;author&gt;&lt;lastName&gt;Keim&lt;/lastName&gt;&lt;firstName&gt;Paul&lt;/firstName&gt;&lt;/author&gt;&lt;author&gt;&lt;lastName&gt;Kelley&lt;/lastName&gt;&lt;firstName&gt;Scott&lt;/firstName&gt;&lt;middleNames&gt;T&lt;/middleNames&gt;&lt;/author&gt;&lt;author&gt;&lt;lastName&gt;Knights&lt;/lastName&gt;&lt;firstName&gt;Dan&lt;/firstName&gt;&lt;/author&gt;&lt;author&gt;&lt;lastName&gt;Koester&lt;/lastName&gt;&lt;firstName&gt;Irina&lt;/firstName&gt;&lt;/author&gt;&lt;author&gt;&lt;lastName&gt;Kosciolek&lt;/lastName&gt;&lt;firstName&gt;Tomasz&lt;/firstName&gt;&lt;/author&gt;&lt;author&gt;&lt;lastName&gt;Kreps&lt;/lastName&gt;&lt;firstName&gt;Jorden&lt;/firstName&gt;&lt;/author&gt;&lt;author&gt;&lt;lastName&gt;Langille&lt;/lastName&gt;&lt;firstName&gt;Morgan&lt;/firstName&gt;&lt;middleNames&gt;G I&lt;/middleNames&gt;&lt;/author&gt;&lt;author&gt;&lt;lastName&gt;Lee&lt;/lastName&gt;&lt;firstName&gt;Joslynn&lt;/firstName&gt;&lt;/author&gt;&lt;author&gt;&lt;lastName&gt;Ley&lt;/lastName&gt;&lt;firstName&gt;Ruth&lt;/firstName&gt;&lt;/author&gt;&lt;author&gt;&lt;lastName&gt;Liu&lt;/lastName&gt;&lt;firstName&gt;Yong-Xin&lt;/firstName&gt;&lt;/author&gt;&lt;author&gt;&lt;lastName&gt;Loftfield&lt;/lastName&gt;&lt;firstName&gt;Erikka&lt;/firstName&gt;&lt;/author&gt;&lt;author&gt;&lt;lastName&gt;Lozupone&lt;/lastName&gt;&lt;firstName&gt;Catherine&lt;/firstName&gt;&lt;/author&gt;&lt;author&gt;&lt;lastName&gt;Maher&lt;/lastName&gt;&lt;firstName&gt;Massoud&lt;/firstName&gt;&lt;/author&gt;&lt;author&gt;&lt;lastName&gt;Marotz&lt;/lastName&gt;&lt;firstName&gt;Clarisse&lt;/firstName&gt;&lt;/author&gt;&lt;author&gt;&lt;lastName&gt;Martin&lt;/lastName&gt;&lt;firstName&gt;Bryan&lt;/firstName&gt;&lt;middleNames&gt;D&lt;/middleNames&gt;&lt;/author&gt;&lt;author&gt;&lt;lastName&gt;McDonald&lt;/lastName&gt;&lt;firstName&gt;Daniel&lt;/firstName&gt;&lt;/author&gt;&lt;author&gt;&lt;lastName&gt;McIver&lt;/lastName&gt;&lt;firstName&gt;Lauren&lt;/firstName&gt;&lt;middleNames&gt;J&lt;/middleNames&gt;&lt;/author&gt;&lt;author&gt;&lt;lastName&gt;Melnik&lt;/lastName&gt;&lt;firstName&gt;Alexey&lt;/firstName&gt;&lt;middleNames&gt;V&lt;/middleNames&gt;&lt;/author&gt;&lt;author&gt;&lt;lastName&gt;Metcalf&lt;/lastName&gt;&lt;firstName&gt;Jessica&lt;/firstName&gt;&lt;middleNames&gt;L&lt;/middleNames&gt;&lt;/author&gt;&lt;author&gt;&lt;lastName&gt;Morgan&lt;/lastName&gt;&lt;firstName&gt;Sydney&lt;/firstName&gt;&lt;middleNames&gt;C&lt;/middleNames&gt;&lt;/author&gt;&lt;author&gt;&lt;lastName&gt;Morton&lt;/lastName&gt;&lt;firstName&gt;Jamie&lt;/firstName&gt;&lt;middleNames&gt;T&lt;/middleNames&gt;&lt;/author&gt;&lt;author&gt;&lt;lastName&gt;Naimey&lt;/lastName&gt;&lt;firstName&gt;Ahmad&lt;/firstName&gt;&lt;middleNames&gt;Turan&lt;/middleNames&gt;&lt;/author&gt;&lt;author&gt;&lt;lastName&gt;Navas-Molina&lt;/lastName&gt;&lt;firstName&gt;Jose&lt;/firstName&gt;&lt;middleNames&gt;A&lt;/middleNames&gt;&lt;/author&gt;&lt;author&gt;&lt;lastName&gt;Nothias&lt;/lastName&gt;&lt;firstName&gt;Louis&lt;/firstName&gt;&lt;middleNames&gt;Felix&lt;/middleNames&gt;&lt;/author&gt;&lt;author&gt;&lt;lastName&gt;Orchanian&lt;/lastName&gt;&lt;firstName&gt;Stephanie&lt;/firstName&gt;&lt;middleNames&gt;B&lt;/middleNames&gt;&lt;/author&gt;&lt;author&gt;&lt;lastName&gt;Pearson&lt;/lastName&gt;&lt;firstName&gt;Talima&lt;/firstName&gt;&lt;/author&gt;&lt;author&gt;&lt;lastName&gt;Peoples&lt;/lastName&gt;&lt;firstName&gt;Samuel&lt;/firstName&gt;&lt;middleNames&gt;L&lt;/middleNames&gt;&lt;/author&gt;&lt;author&gt;&lt;lastName&gt;Petras&lt;/lastName&gt;&lt;firstName&gt;Daniel&lt;/firstName&gt;&lt;/author&gt;&lt;author&gt;&lt;lastName&gt;Preuss&lt;/lastName&gt;&lt;firstName&gt;Mary&lt;/firstName&gt;&lt;middleNames&gt;Lai&lt;/middleNames&gt;&lt;/author&gt;&lt;author&gt;&lt;lastName&gt;Pruesse&lt;/lastName&gt;&lt;firstName&gt;Elmar&lt;/firstName&gt;&lt;/author&gt;&lt;author&gt;&lt;lastName&gt;Rasmussen&lt;/lastName&gt;&lt;firstName&gt;Lasse&lt;/firstName&gt;&lt;middleNames&gt;Buur&lt;/middleNames&gt;&lt;/author&gt;&lt;author&gt;&lt;lastName&gt;Rivers&lt;/lastName&gt;&lt;firstName&gt;Adam&lt;/firstName&gt;&lt;/author&gt;&lt;author&gt;&lt;lastName&gt;Robeson&lt;/lastName&gt;&lt;firstName&gt;Michael&lt;/firstName&gt;&lt;middleNames&gt;S&lt;/middleNames&gt;&lt;/author&gt;&lt;author&gt;&lt;lastName&gt;Rosenthal&lt;/lastName&gt;&lt;firstName&gt;Patrick&lt;/firstName&gt;&lt;/author&gt;&lt;author&gt;&lt;lastName&gt;Segata&lt;/lastName&gt;&lt;firstName&gt;Nicola&lt;/firstName&gt;&lt;/author&gt;&lt;author&gt;&lt;lastName&gt;Shaffer&lt;/lastName&gt;&lt;firstName&gt;Michael&lt;/firstName&gt;&lt;/author&gt;&lt;author&gt;&lt;lastName&gt;Shiffer&lt;/lastName&gt;&lt;firstName&gt;Arron&lt;/firstName&gt;&lt;/author&gt;&lt;author&gt;&lt;lastName&gt;Sinha&lt;/lastName&gt;&lt;firstName&gt;Rashmi&lt;/firstName&gt;&lt;/author&gt;&lt;author&gt;&lt;lastName&gt;Song&lt;/lastName&gt;&lt;firstName&gt;Se&lt;/firstName&gt;&lt;middleNames&gt;Jin&lt;/middleNames&gt;&lt;/author&gt;&lt;author&gt;&lt;lastName&gt;Spear&lt;/lastName&gt;&lt;firstName&gt;John&lt;/firstName&gt;&lt;middleNames&gt;R&lt;/middleNames&gt;&lt;/author&gt;&lt;author&gt;&lt;lastName&gt;Swafford&lt;/lastName&gt;&lt;firstName&gt;Austin&lt;/firstName&gt;&lt;middleNames&gt;D&lt;/middleNames&gt;&lt;/author&gt;&lt;author&gt;&lt;lastName&gt;Thompson&lt;/lastName&gt;&lt;firstName&gt;Luke&lt;/firstName&gt;&lt;middleNames&gt;R&lt;/middleNames&gt;&lt;/author&gt;&lt;author&gt;&lt;lastName&gt;Torres&lt;/lastName&gt;&lt;firstName&gt;Pedro&lt;/firstName&gt;&lt;middleNames&gt;J&lt;/middleNames&gt;&lt;/author&gt;&lt;author&gt;&lt;lastName&gt;Trinh&lt;/lastName&gt;&lt;firstName&gt;Pauline&lt;/firstName&gt;&lt;/author&gt;&lt;author&gt;&lt;lastName&gt;Tripathi&lt;/lastName&gt;&lt;firstName&gt;Anupriya&lt;/firstName&gt;&lt;/author&gt;&lt;author&gt;&lt;lastName&gt;Turnbaugh&lt;/lastName&gt;&lt;firstName&gt;Peter&lt;/firstName&gt;&lt;middleNames&gt;J&lt;/middleNames&gt;&lt;/author&gt;&lt;author&gt;&lt;lastName&gt;Ul-Hasan&lt;/lastName&gt;&lt;firstName&gt;Sabah&lt;/firstName&gt;&lt;/author&gt;&lt;author&gt;&lt;lastName&gt;Hooft&lt;/lastName&gt;&lt;nonDroppingParticle&gt;van der&lt;/nonDroppingParticle&gt;&lt;firstName&gt;Justin&lt;/firstName&gt;&lt;middleNames&gt;J J&lt;/middleNames&gt;&lt;/author&gt;&lt;author&gt;&lt;lastName&gt;Vargas&lt;/lastName&gt;&lt;firstName&gt;Fernando&lt;/firstName&gt;&lt;/author&gt;&lt;author&gt;&lt;lastName&gt;Vázquez-Baeza&lt;/lastName&gt;&lt;firstName&gt;Yoshiki&lt;/firstName&gt;&lt;/author&gt;&lt;author&gt;&lt;lastName&gt;Vogtmann&lt;/lastName&gt;&lt;firstName&gt;Emily&lt;/firstName&gt;&lt;/author&gt;&lt;author&gt;&lt;lastName&gt;Hippel&lt;/lastName&gt;&lt;firstName&gt;Max&lt;/firstName&gt;&lt;droppingParticle&gt;von&lt;/droppingParticle&gt;&lt;/author&gt;&lt;author&gt;&lt;lastName&gt;Walters&lt;/lastName&gt;&lt;firstName&gt;William&lt;/firstName&gt;&lt;/author&gt;&lt;author&gt;&lt;lastName&gt;Wan&lt;/lastName&gt;&lt;firstName&gt;Yunhu&lt;/firstName&gt;&lt;/author&gt;&lt;author&gt;&lt;lastName&gt;Wang&lt;/lastName&gt;&lt;firstName&gt;Mingxun&lt;/firstName&gt;&lt;/author&gt;&lt;author&gt;&lt;lastName&gt;Warren&lt;/lastName&gt;&lt;firstName&gt;Jonathan&lt;/firstName&gt;&lt;/author&gt;&lt;author&gt;&lt;lastName&gt;Weber&lt;/lastName&gt;&lt;firstName&gt;Kyle&lt;/firstName&gt;&lt;middleNames&gt;C&lt;/middleNames&gt;&lt;/author&gt;&lt;author&gt;&lt;lastName&gt;Williamson&lt;/lastName&gt;&lt;firstName&gt;Charles&lt;/firstName&gt;&lt;middleNames&gt;H D&lt;/middleNames&gt;&lt;/author&gt;&lt;author&gt;&lt;lastName&gt;Willis&lt;/lastName&gt;&lt;firstName&gt;Amy&lt;/firstName&gt;&lt;middleNames&gt;D&lt;/middleNames&gt;&lt;/author&gt;&lt;author&gt;&lt;lastName&gt;Xu&lt;/lastName&gt;&lt;firstName&gt;Zhenjiang&lt;/firstName&gt;&lt;middleNames&gt;Zech&lt;/middleNames&gt;&lt;/author&gt;&lt;author&gt;&lt;lastName&gt;Zaneveld&lt;/lastName&gt;&lt;firstName&gt;Jesse&lt;/firstName&gt;&lt;middleNames&gt;R&lt;/middleNames&gt;&lt;/author&gt;&lt;author&gt;&lt;lastName&gt;Zhang&lt;/lastName&gt;&lt;firstName&gt;Yilong&lt;/firstName&gt;&lt;/author&gt;&lt;author&gt;&lt;lastName&gt;Zhu&lt;/lastName&gt;&lt;firstName&gt;Qiyun&lt;/firstName&gt;&lt;/author&gt;&lt;author&gt;&lt;lastName&gt;Knight&lt;/lastName&gt;&lt;firstName&gt;Rob&lt;/firstName&gt;&lt;/author&gt;&lt;author&gt;&lt;lastName&gt;Caporaso&lt;/lastName&gt;&lt;firstName&gt;J&lt;/firstName&gt;&lt;middleNames&gt;Gregory&lt;/middleNames&gt;&lt;/author&gt;&lt;/authors&gt;&lt;/publication&gt;&lt;/publications&gt;&lt;cites&gt;&lt;/cites&gt;&lt;/citation&gt;</w:instrText>
      </w:r>
      <w:r w:rsidRPr="00A62E5D">
        <w:rPr>
          <w:rFonts w:eastAsiaTheme="minorHAnsi"/>
          <w:lang w:val="en-US" w:eastAsia="en-US"/>
        </w:rPr>
        <w:fldChar w:fldCharType="separate"/>
      </w:r>
      <w:r w:rsidR="00C62C16">
        <w:rPr>
          <w:rFonts w:eastAsiaTheme="minorHAnsi"/>
          <w:lang w:val="en-US" w:eastAsia="en-US"/>
        </w:rPr>
        <w:t>(</w:t>
      </w:r>
      <w:r w:rsidR="00A62E5D" w:rsidRPr="00A62E5D">
        <w:rPr>
          <w:rFonts w:eastAsiaTheme="minorHAnsi"/>
          <w:lang w:val="en-US" w:eastAsia="en-US"/>
        </w:rPr>
        <w:t>Bolyen E et al. Nat. Biotechnol. 2019;37:852–7</w:t>
      </w:r>
      <w:r w:rsidR="00C62C16">
        <w:rPr>
          <w:rFonts w:eastAsiaTheme="minorHAnsi"/>
          <w:lang w:val="en-US" w:eastAsia="en-US"/>
        </w:rPr>
        <w:t>)</w:t>
      </w:r>
      <w:r w:rsidRPr="00A62E5D">
        <w:rPr>
          <w:rFonts w:eastAsiaTheme="minorHAnsi"/>
          <w:lang w:val="en-US" w:eastAsia="en-US"/>
        </w:rPr>
        <w:fldChar w:fldCharType="end"/>
      </w:r>
      <w:r w:rsidRPr="00A62E5D">
        <w:rPr>
          <w:color w:val="000000" w:themeColor="text1"/>
          <w:lang w:val="en-US"/>
        </w:rPr>
        <w:t xml:space="preserve">. Raw sequence data were demultiplexed and quality filtered with the q2-demux plugin followed by denoising with DADA2 </w:t>
      </w:r>
      <w:r w:rsidRPr="00A62E5D">
        <w:rPr>
          <w:rFonts w:eastAsiaTheme="minorHAnsi"/>
          <w:lang w:val="en-US" w:eastAsia="en-US"/>
        </w:rPr>
        <w:fldChar w:fldCharType="begin"/>
      </w:r>
      <w:r w:rsidRPr="00A62E5D">
        <w:rPr>
          <w:rFonts w:eastAsiaTheme="minorHAnsi"/>
          <w:lang w:val="en-US" w:eastAsia="en-US"/>
        </w:rPr>
        <w:instrText xml:space="preserve"> ADDIN PAPERS2_CITATIONS &lt;citation&gt;&lt;priority&gt;7&lt;/priority&gt;&lt;uuid&gt;FE25B822-9132-4BBD-90ED-033E3CCEAF95&lt;/uuid&gt;&lt;publications&gt;&lt;publication&gt;&lt;subtype&gt;400&lt;/subtype&gt;&lt;title&gt;DADA2: High-resolution sample inference from Illumina amplicon data.&lt;/title&gt;&lt;url&gt;http://www.nature.com/articles/nmeth.3869&lt;/url&gt;&lt;volume&gt;13&lt;/volume&gt;&lt;publication_date&gt;99201607001200000000220000&lt;/publication_date&gt;&lt;uuid&gt;03C97612-02BF-41FB-8716-4C771BE3448D&lt;/uuid&gt;&lt;type&gt;400&lt;/type&gt;&lt;accepted_date&gt;99201604131200000000222000&lt;/accepted_date&gt;&lt;number&gt;7&lt;/number&gt;&lt;submission_date&gt;99201508211200000000222000&lt;/submission_date&gt;&lt;doi&gt;10.1038/nmeth.3869&lt;/doi&gt;&lt;institution&gt;Department of Statistics, Stanford University, Stanford, California, USA.&lt;/institution&gt;&lt;startpage&gt;581&lt;/startpage&gt;&lt;endpage&gt;583&lt;/endpage&gt;&lt;bundle&gt;&lt;publication&gt;&lt;title&gt;Nature methods&lt;/title&gt;&lt;uuid&gt;E03F7FAE-B171-4561-B639-440886E0F4F3&lt;/uuid&gt;&lt;subtype&gt;-100&lt;/subtype&gt;&lt;type&gt;-100&lt;/type&gt;&lt;/publication&gt;&lt;/bundle&gt;&lt;authors&gt;&lt;author&gt;&lt;lastName&gt;Callahan&lt;/lastName&gt;&lt;firstName&gt;Benjamin&lt;/firstName&gt;&lt;middleNames&gt;J&lt;/middleNames&gt;&lt;/author&gt;&lt;author&gt;&lt;lastName&gt;McMurdie&lt;/lastName&gt;&lt;firstName&gt;Paul&lt;/firstName&gt;&lt;middleNames&gt;J&lt;/middleNames&gt;&lt;/author&gt;&lt;author&gt;&lt;lastName&gt;Rosen&lt;/lastName&gt;&lt;firstName&gt;Michael&lt;/firstName&gt;&lt;middleNames&gt;J&lt;/middleNames&gt;&lt;/author&gt;&lt;author&gt;&lt;lastName&gt;Han&lt;/lastName&gt;&lt;firstName&gt;Andrew&lt;/firstName&gt;&lt;middleNames&gt;W&lt;/middleNames&gt;&lt;/author&gt;&lt;author&gt;&lt;lastName&gt;Johnson&lt;/lastName&gt;&lt;firstName&gt;Amy&lt;/firstName&gt;&lt;middleNames&gt;Jo A&lt;/middleNames&gt;&lt;/author&gt;&lt;author&gt;&lt;lastName&gt;Holmes&lt;/lastName&gt;&lt;firstName&gt;Susan&lt;/firstName&gt;&lt;middleNames&gt;P&lt;/middleNames&gt;&lt;/author&gt;&lt;/authors&gt;&lt;/publication&gt;&lt;/publications&gt;&lt;cites&gt;&lt;/cites&gt;&lt;/citation&gt;</w:instrText>
      </w:r>
      <w:r w:rsidRPr="00A62E5D">
        <w:rPr>
          <w:rFonts w:eastAsiaTheme="minorHAnsi"/>
          <w:lang w:val="en-US" w:eastAsia="en-US"/>
        </w:rPr>
        <w:fldChar w:fldCharType="separate"/>
      </w:r>
      <w:r w:rsidR="00C62C16">
        <w:rPr>
          <w:rFonts w:eastAsiaTheme="minorHAnsi"/>
          <w:lang w:val="en-US" w:eastAsia="en-US"/>
        </w:rPr>
        <w:t>(</w:t>
      </w:r>
      <w:r w:rsidR="00A62E5D" w:rsidRPr="00A62E5D">
        <w:rPr>
          <w:rFonts w:eastAsiaTheme="minorHAnsi"/>
          <w:lang w:val="en-US" w:eastAsia="en-US"/>
        </w:rPr>
        <w:t>Callahan BJ et al. Nat. Methods. 2016;13:581–3</w:t>
      </w:r>
      <w:r w:rsidR="00C62C16">
        <w:rPr>
          <w:rFonts w:eastAsiaTheme="minorHAnsi"/>
          <w:lang w:val="en-US" w:eastAsia="en-US"/>
        </w:rPr>
        <w:t>)</w:t>
      </w:r>
      <w:r w:rsidRPr="00A62E5D">
        <w:rPr>
          <w:rFonts w:eastAsiaTheme="minorHAnsi"/>
          <w:lang w:val="en-US" w:eastAsia="en-US"/>
        </w:rPr>
        <w:fldChar w:fldCharType="end"/>
      </w:r>
      <w:r w:rsidRPr="00A62E5D">
        <w:rPr>
          <w:color w:val="000000" w:themeColor="text1"/>
          <w:lang w:val="en-US"/>
        </w:rPr>
        <w:t xml:space="preserve">. Taxonomy was assigned to amplicon sequence variants (ASVs) using the q2-feature-classifier plugin against the SILVA 132 99% database. Phylogenetic data clustered into ASVs were further analyzed using the </w:t>
      </w:r>
      <w:proofErr w:type="spellStart"/>
      <w:r w:rsidRPr="00A62E5D">
        <w:rPr>
          <w:color w:val="000000" w:themeColor="text1"/>
          <w:lang w:val="en-US"/>
        </w:rPr>
        <w:t>phyloseq</w:t>
      </w:r>
      <w:proofErr w:type="spellEnd"/>
      <w:r w:rsidRPr="00A62E5D">
        <w:rPr>
          <w:color w:val="000000" w:themeColor="text1"/>
          <w:lang w:val="en-US"/>
        </w:rPr>
        <w:t xml:space="preserve"> package. Contaminant DNA sequences were identified and removed using the </w:t>
      </w:r>
      <w:proofErr w:type="spellStart"/>
      <w:r w:rsidRPr="00A62E5D">
        <w:rPr>
          <w:color w:val="000000" w:themeColor="text1"/>
          <w:lang w:val="en-US"/>
        </w:rPr>
        <w:t>decontam</w:t>
      </w:r>
      <w:proofErr w:type="spellEnd"/>
      <w:r w:rsidRPr="00A62E5D">
        <w:rPr>
          <w:color w:val="000000" w:themeColor="text1"/>
          <w:lang w:val="en-US"/>
        </w:rPr>
        <w:t xml:space="preserve"> package </w:t>
      </w:r>
      <w:r w:rsidRPr="00A62E5D">
        <w:rPr>
          <w:rFonts w:eastAsiaTheme="minorHAnsi"/>
          <w:lang w:val="en-US" w:eastAsia="en-US"/>
        </w:rPr>
        <w:fldChar w:fldCharType="begin"/>
      </w:r>
      <w:r w:rsidRPr="00A62E5D">
        <w:rPr>
          <w:rFonts w:eastAsiaTheme="minorHAnsi"/>
          <w:lang w:val="en-US" w:eastAsia="en-US"/>
        </w:rPr>
        <w:instrText xml:space="preserve"> ADDIN PAPERS2_CITATIONS &lt;citation&gt;&lt;priority&gt;8&lt;/priority&gt;&lt;uuid&gt;6EA99967-34AB-489A-BD43-E7E593AAE314&lt;/uuid&gt;&lt;publications&gt;&lt;publication&gt;&lt;subtype&gt;400&lt;/subtype&gt;&lt;title&gt;Simple statistical identification and removal of contaminant sequences in marker-gene and metagenomics data.&lt;/title&gt;&lt;url&gt;https://microbiomejournal.biomedcentral.com/articles/10.1186/s40168-018-0605-2&lt;/url&gt;&lt;volume&gt;6&lt;/volume&gt;&lt;publication_date&gt;99201812171200000000222000&lt;/publication_date&gt;&lt;uuid&gt;6FC157C8-D9B9-4847-AFDD-345430625226&lt;/uuid&gt;&lt;type&gt;400&lt;/type&gt;&lt;accepted_date&gt;99201811251200000000222000&lt;/accepted_date&gt;&lt;number&gt;1&lt;/number&gt;&lt;submission_date&gt;99201807251200000000222000&lt;/submission_date&gt;&lt;doi&gt;10.1186/s40168-018-0605-2&lt;/doi&gt;&lt;institution&gt;Department of Microbiology and Immunology, Stanford University School of Medicine, Stanford, CA, 94305, USA.&lt;/institution&gt;&lt;startpage&gt;226&lt;/startpage&gt;&lt;bundle&gt;&lt;publication&gt;&lt;title&gt;Microbiome&lt;/title&gt;&lt;uuid&gt;C404B621-C66D-4EC2-A920-60515402561A&lt;/uuid&gt;&lt;subtype&gt;-100&lt;/subtype&gt;&lt;type&gt;-100&lt;/type&gt;&lt;/publication&gt;&lt;/bundle&gt;&lt;authors&gt;&lt;author&gt;&lt;lastName&gt;Davis&lt;/lastName&gt;&lt;firstName&gt;Nicole&lt;/firstName&gt;&lt;middleNames&gt;M&lt;/middleNames&gt;&lt;/author&gt;&lt;author&gt;&lt;lastName&gt;Proctor&lt;/lastName&gt;&lt;firstName&gt;Diana&lt;/firstName&gt;&lt;middleNames&gt;M&lt;/middleNames&gt;&lt;/author&gt;&lt;author&gt;&lt;lastName&gt;Holmes&lt;/lastName&gt;&lt;firstName&gt;Susan&lt;/firstName&gt;&lt;middleNames&gt;P&lt;/middleNames&gt;&lt;/author&gt;&lt;author&gt;&lt;lastName&gt;Relman&lt;/lastName&gt;&lt;firstName&gt;David&lt;/firstName&gt;&lt;middleNames&gt;A&lt;/middleNames&gt;&lt;/author&gt;&lt;author&gt;&lt;lastName&gt;Callahan&lt;/lastName&gt;&lt;firstName&gt;Benjamin&lt;/firstName&gt;&lt;middleNames&gt;J&lt;/middleNames&gt;&lt;/author&gt;&lt;/authors&gt;&lt;/publication&gt;&lt;/publications&gt;&lt;cites&gt;&lt;/cites&gt;&lt;/citation&gt;</w:instrText>
      </w:r>
      <w:r w:rsidRPr="00A62E5D">
        <w:rPr>
          <w:rFonts w:eastAsiaTheme="minorHAnsi"/>
          <w:lang w:val="en-US" w:eastAsia="en-US"/>
        </w:rPr>
        <w:fldChar w:fldCharType="separate"/>
      </w:r>
      <w:r w:rsidR="00C62C16">
        <w:rPr>
          <w:rFonts w:eastAsiaTheme="minorHAnsi"/>
          <w:lang w:val="en-US" w:eastAsia="en-US"/>
        </w:rPr>
        <w:t>(</w:t>
      </w:r>
      <w:r w:rsidR="00A62E5D" w:rsidRPr="00A62E5D">
        <w:rPr>
          <w:rFonts w:eastAsiaTheme="minorHAnsi"/>
          <w:lang w:val="en-US" w:eastAsia="en-US"/>
        </w:rPr>
        <w:t>Davis NM et al. Microbiome. 2018;6:226</w:t>
      </w:r>
      <w:r w:rsidR="00C62C16">
        <w:rPr>
          <w:rFonts w:eastAsiaTheme="minorHAnsi"/>
          <w:lang w:val="en-US" w:eastAsia="en-US"/>
        </w:rPr>
        <w:t>)</w:t>
      </w:r>
      <w:r w:rsidRPr="00A62E5D">
        <w:rPr>
          <w:rFonts w:eastAsiaTheme="minorHAnsi"/>
          <w:lang w:val="en-US" w:eastAsia="en-US"/>
        </w:rPr>
        <w:fldChar w:fldCharType="end"/>
      </w:r>
      <w:r w:rsidRPr="00A62E5D">
        <w:rPr>
          <w:color w:val="000000" w:themeColor="text1"/>
          <w:lang w:val="en-US"/>
        </w:rPr>
        <w:t>. Both packages were used in R software version 3.6.3 (R</w:t>
      </w:r>
      <w:r w:rsidRPr="00DF4D70">
        <w:rPr>
          <w:color w:val="000000" w:themeColor="text1"/>
          <w:lang w:val="en-US"/>
        </w:rPr>
        <w:t xml:space="preserve"> Foundation for Statistical Computing, Vienna, Austria).</w:t>
      </w:r>
      <w:r>
        <w:rPr>
          <w:color w:val="000000" w:themeColor="text1"/>
          <w:lang w:val="en-US"/>
        </w:rPr>
        <w:t xml:space="preserve"> </w:t>
      </w:r>
    </w:p>
    <w:p w14:paraId="54646FA4" w14:textId="77777777" w:rsidR="005A4806" w:rsidRPr="005A4806" w:rsidRDefault="005A4806" w:rsidP="00A62E5D">
      <w:pPr>
        <w:jc w:val="both"/>
        <w:rPr>
          <w:lang w:val="en-US"/>
        </w:rPr>
      </w:pPr>
    </w:p>
    <w:sectPr w:rsidR="005A4806" w:rsidRPr="005A4806" w:rsidSect="00DC6BB9">
      <w:pgSz w:w="11900" w:h="16840"/>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0377A6" w16cex:dateUtc="2020-09-09T13:47: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787"/>
    <w:rsid w:val="001029C4"/>
    <w:rsid w:val="002129DD"/>
    <w:rsid w:val="0038629F"/>
    <w:rsid w:val="003D629B"/>
    <w:rsid w:val="004F44D1"/>
    <w:rsid w:val="005A4806"/>
    <w:rsid w:val="00725882"/>
    <w:rsid w:val="00806C95"/>
    <w:rsid w:val="0088441D"/>
    <w:rsid w:val="00A62E5D"/>
    <w:rsid w:val="00C55050"/>
    <w:rsid w:val="00C62C16"/>
    <w:rsid w:val="00CE0787"/>
    <w:rsid w:val="00DC6BB9"/>
    <w:rsid w:val="00F4483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216F95E0"/>
  <w15:chartTrackingRefBased/>
  <w15:docId w15:val="{B6E41869-7E8A-6944-A7BF-40FA9A528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E0787"/>
    <w:rPr>
      <w:rFonts w:ascii="Times New Roman" w:eastAsia="Times New Roman" w:hAnsi="Times New Roman" w:cs="Times New Roman"/>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CE0787"/>
    <w:rPr>
      <w:sz w:val="18"/>
      <w:szCs w:val="18"/>
    </w:rPr>
  </w:style>
  <w:style w:type="paragraph" w:styleId="Commentaire">
    <w:name w:val="annotation text"/>
    <w:basedOn w:val="Normal"/>
    <w:link w:val="CommentaireCar"/>
    <w:uiPriority w:val="99"/>
    <w:semiHidden/>
    <w:unhideWhenUsed/>
    <w:rsid w:val="00CE0787"/>
    <w:rPr>
      <w:rFonts w:eastAsiaTheme="minorHAnsi"/>
    </w:rPr>
  </w:style>
  <w:style w:type="character" w:customStyle="1" w:styleId="CommentaireCar">
    <w:name w:val="Commentaire Car"/>
    <w:basedOn w:val="Policepardfaut"/>
    <w:link w:val="Commentaire"/>
    <w:uiPriority w:val="99"/>
    <w:semiHidden/>
    <w:rsid w:val="00CE0787"/>
    <w:rPr>
      <w:rFonts w:ascii="Times New Roman" w:hAnsi="Times New Roman" w:cs="Times New Roman"/>
      <w:lang w:val="fr-FR" w:eastAsia="fr-FR"/>
    </w:rPr>
  </w:style>
  <w:style w:type="paragraph" w:styleId="Textedebulles">
    <w:name w:val="Balloon Text"/>
    <w:basedOn w:val="Normal"/>
    <w:link w:val="TextedebullesCar"/>
    <w:uiPriority w:val="99"/>
    <w:semiHidden/>
    <w:unhideWhenUsed/>
    <w:rsid w:val="00CE0787"/>
    <w:rPr>
      <w:sz w:val="18"/>
      <w:szCs w:val="18"/>
    </w:rPr>
  </w:style>
  <w:style w:type="character" w:customStyle="1" w:styleId="TextedebullesCar">
    <w:name w:val="Texte de bulles Car"/>
    <w:basedOn w:val="Policepardfaut"/>
    <w:link w:val="Textedebulles"/>
    <w:uiPriority w:val="99"/>
    <w:semiHidden/>
    <w:rsid w:val="00CE0787"/>
    <w:rPr>
      <w:rFonts w:ascii="Times New Roman" w:eastAsia="Times New Roman" w:hAnsi="Times New Roman" w:cs="Times New Roman"/>
      <w:sz w:val="18"/>
      <w:szCs w:val="18"/>
      <w:lang w:val="fr-FR" w:eastAsia="fr-FR"/>
    </w:rPr>
  </w:style>
  <w:style w:type="paragraph" w:customStyle="1" w:styleId="Default">
    <w:name w:val="Default"/>
    <w:rsid w:val="005A4806"/>
    <w:pPr>
      <w:autoSpaceDE w:val="0"/>
      <w:autoSpaceDN w:val="0"/>
      <w:adjustRightInd w:val="0"/>
    </w:pPr>
    <w:rPr>
      <w:rFonts w:ascii="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10" Type="http://schemas.microsoft.com/office/2018/08/relationships/commentsExtensible" Target="commentsExtensible.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2829</Words>
  <Characters>15565</Characters>
  <Application>Microsoft Office Word</Application>
  <DocSecurity>0</DocSecurity>
  <Lines>129</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Kipnis</dc:creator>
  <cp:keywords/>
  <dc:description/>
  <cp:lastModifiedBy>Utilisateur de Microsoft Office</cp:lastModifiedBy>
  <cp:revision>2</cp:revision>
  <dcterms:created xsi:type="dcterms:W3CDTF">2020-09-24T15:57:00Z</dcterms:created>
  <dcterms:modified xsi:type="dcterms:W3CDTF">2020-09-24T15:57:00Z</dcterms:modified>
</cp:coreProperties>
</file>