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DE0CC" w14:textId="77777777" w:rsidR="005F6C7F" w:rsidRPr="00152566" w:rsidRDefault="005F6C7F" w:rsidP="005F6C7F">
      <w:pPr>
        <w:pStyle w:val="NormaleWeb"/>
        <w:spacing w:before="0" w:beforeAutospacing="0" w:after="0" w:afterAutospacing="0" w:line="360" w:lineRule="auto"/>
        <w:jc w:val="right"/>
        <w:rPr>
          <w:b/>
          <w:sz w:val="36"/>
          <w:lang w:val="en-US"/>
        </w:rPr>
      </w:pPr>
      <w:r>
        <w:rPr>
          <w:b/>
          <w:lang w:val="en-US"/>
        </w:rPr>
        <w:t>Additional File 1</w:t>
      </w:r>
    </w:p>
    <w:p w14:paraId="1AFEC625" w14:textId="2E134FC7" w:rsidR="0004722E" w:rsidRDefault="0004722E"/>
    <w:p w14:paraId="2F2ED1AC" w14:textId="77777777" w:rsidR="005F6C7F" w:rsidRPr="00EA4069" w:rsidRDefault="005F6C7F" w:rsidP="005F6C7F">
      <w:pPr>
        <w:spacing w:line="360" w:lineRule="auto"/>
        <w:rPr>
          <w:rFonts w:ascii="Times New Roman" w:hAnsi="Times New Roman" w:cs="Times New Roman"/>
          <w:i/>
          <w:lang w:val="en-US"/>
        </w:rPr>
      </w:pPr>
      <w:r w:rsidRPr="00DC7B54">
        <w:rPr>
          <w:rFonts w:ascii="Times New Roman" w:hAnsi="Times New Roman" w:cs="Times New Roman"/>
          <w:b/>
          <w:lang w:val="en-US"/>
        </w:rPr>
        <w:t>Methods</w:t>
      </w:r>
    </w:p>
    <w:p w14:paraId="322E80F6" w14:textId="77777777" w:rsidR="005F6C7F" w:rsidRPr="00152566" w:rsidRDefault="005F6C7F" w:rsidP="005F6C7F">
      <w:pPr>
        <w:rPr>
          <w:b/>
          <w:highlight w:val="lightGray"/>
          <w:lang w:val="en-US"/>
        </w:rPr>
      </w:pPr>
    </w:p>
    <w:p w14:paraId="3D16302A" w14:textId="77777777" w:rsidR="005F6C7F" w:rsidRPr="00152566" w:rsidRDefault="005F6C7F" w:rsidP="005F6C7F">
      <w:pPr>
        <w:spacing w:line="480" w:lineRule="auto"/>
        <w:jc w:val="both"/>
        <w:rPr>
          <w:rFonts w:ascii="Times New Roman" w:hAnsi="Times New Roman" w:cs="Times New Roman"/>
          <w:i/>
          <w:lang w:val="en-US"/>
        </w:rPr>
      </w:pPr>
      <w:r w:rsidRPr="00152566">
        <w:rPr>
          <w:rFonts w:ascii="Times New Roman" w:hAnsi="Times New Roman" w:cs="Times New Roman"/>
          <w:i/>
          <w:lang w:val="en-US"/>
        </w:rPr>
        <w:t>ECMO management</w:t>
      </w:r>
    </w:p>
    <w:p w14:paraId="17428A16" w14:textId="77777777" w:rsidR="005F6C7F" w:rsidRPr="00152566" w:rsidRDefault="005F6C7F" w:rsidP="005F6C7F">
      <w:pPr>
        <w:spacing w:line="48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52566">
        <w:rPr>
          <w:rFonts w:ascii="Times New Roman" w:hAnsi="Times New Roman" w:cs="Times New Roman"/>
          <w:lang w:val="en-US"/>
        </w:rPr>
        <w:t>V-A ECMO was used for the patients admitted after in- or out-of-hospital cardiac arrest (CA) or for cardiogenic shock due to different acute causes (i.e. ischemic cardiomyopathy, myocarditis, septic cardiomyopathy, severe and refractory arrhythmias, toxics, post-transplantation left or right ventricular failure). Veno-venous (V-V) ECMO was used to treat patients with severe respiratory failure who failed common ventilator and medical therapy. All ECMO equipment was implanted with peripheral (the most frequent configuration was femoro-femoral in V-A and femoro-jugular if V-V) heparin-coated cannulation (18–22 Fr arterial cannula and 21–25 Fr venous cannula; Edwards Lifesciences, Irvine, CA). A centrifugal blood pump (RevolutionTM blood pump; Sorin, Milan, Italy) was initially set at a blood flow of 3-5 L/min (based on patient body surface area), according to clinical needs. Priming of the ECMO circuit consisted of 700 mL of Plasmalyte solution (Baxter Healthcare Corp., Deerfield, IL). With peripheral V-A implantation, an anterograde single-lumen 8 Fr catheter (Arrow Inc., Reading, PA) was placed to avoid limb ischaemia. A heat exchanger (Blanketrol II; Sub-Zero Products Inc., Cincinnati, OH) was used to maintain body temperature at 37°C, when indicated. Systemic anticoagulation was achieved by intravenous administration of unfractionated heparin. In V-A ECMO patients developing differential hypoxia despite increasing ECMO blood flows, different interventions, including reducing inotropes, optimizing mechanical ventilation or giving diuretics, were initiated and the conversion to hybrid configuration (i.e. a third venous reinjection cannula) was considered.</w:t>
      </w:r>
    </w:p>
    <w:p w14:paraId="6EB824C3" w14:textId="77777777" w:rsidR="005F6C7F" w:rsidRPr="00152566" w:rsidRDefault="005F6C7F" w:rsidP="005F6C7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9674494" w14:textId="77777777" w:rsidR="005F6C7F" w:rsidRPr="00152566" w:rsidRDefault="005F6C7F" w:rsidP="005F6C7F">
      <w:pPr>
        <w:spacing w:line="480" w:lineRule="auto"/>
        <w:jc w:val="both"/>
        <w:rPr>
          <w:rFonts w:ascii="Times New Roman" w:hAnsi="Times New Roman" w:cs="Times New Roman"/>
          <w:i/>
          <w:lang w:val="en-US"/>
        </w:rPr>
      </w:pPr>
      <w:r w:rsidRPr="00152566">
        <w:rPr>
          <w:rFonts w:ascii="Times New Roman" w:hAnsi="Times New Roman" w:cs="Times New Roman"/>
          <w:i/>
          <w:lang w:val="en-US"/>
        </w:rPr>
        <w:t>EEG definitions</w:t>
      </w:r>
    </w:p>
    <w:p w14:paraId="79BE9F6E" w14:textId="77777777" w:rsidR="005F6C7F" w:rsidRPr="00152566" w:rsidRDefault="005F6C7F" w:rsidP="005F6C7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152566">
        <w:rPr>
          <w:rFonts w:ascii="Times New Roman" w:hAnsi="Times New Roman" w:cs="Times New Roman"/>
          <w:lang w:val="en-US"/>
        </w:rPr>
        <w:t>Definitions of EEG patterns were as follows:</w:t>
      </w:r>
    </w:p>
    <w:p w14:paraId="20F72B9C" w14:textId="77777777" w:rsidR="005F6C7F" w:rsidRPr="00152566" w:rsidRDefault="005F6C7F" w:rsidP="005F6C7F">
      <w:pPr>
        <w:spacing w:line="48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52566">
        <w:rPr>
          <w:rFonts w:ascii="Times New Roman" w:hAnsi="Times New Roman" w:cs="Times New Roman"/>
          <w:lang w:val="en-US"/>
        </w:rPr>
        <w:lastRenderedPageBreak/>
        <w:t xml:space="preserve">1) Mild/moderate encephalopathy was defined as an excess of slow activity (theta and delta frequencies) and presence of spontaneous variability and/or reactivity of the EEG to external stimulation. </w:t>
      </w:r>
    </w:p>
    <w:p w14:paraId="4550C1D5" w14:textId="77777777" w:rsidR="005F6C7F" w:rsidRPr="00152566" w:rsidRDefault="005F6C7F" w:rsidP="005F6C7F">
      <w:pPr>
        <w:spacing w:line="48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52566">
        <w:rPr>
          <w:rFonts w:ascii="Times New Roman" w:hAnsi="Times New Roman" w:cs="Times New Roman"/>
          <w:lang w:val="en-US"/>
        </w:rPr>
        <w:t xml:space="preserve">2) Severe encephalopathy was defined as either a monotonous slow and/or attenuated activity with absence of reactivity and variability or a discontinuous EEG background, characterized by the presence of periods of diffuse attenuation lasting &lt;50 % of the EEG epoch. </w:t>
      </w:r>
    </w:p>
    <w:p w14:paraId="4628F121" w14:textId="77777777" w:rsidR="005F6C7F" w:rsidRPr="00152566" w:rsidRDefault="005F6C7F" w:rsidP="005F6C7F">
      <w:pPr>
        <w:spacing w:line="48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3) S</w:t>
      </w:r>
      <w:r w:rsidRPr="00152566">
        <w:rPr>
          <w:rFonts w:ascii="Times New Roman" w:hAnsi="Times New Roman" w:cs="Times New Roman"/>
          <w:lang w:val="en-US"/>
        </w:rPr>
        <w:t>uppression</w:t>
      </w:r>
      <w:r>
        <w:rPr>
          <w:rFonts w:ascii="Times New Roman" w:hAnsi="Times New Roman" w:cs="Times New Roman"/>
          <w:lang w:val="en-US"/>
        </w:rPr>
        <w:t>-Burst</w:t>
      </w:r>
      <w:r w:rsidRPr="00152566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(SB) </w:t>
      </w:r>
      <w:r w:rsidRPr="00152566">
        <w:rPr>
          <w:rFonts w:ascii="Times New Roman" w:hAnsi="Times New Roman" w:cs="Times New Roman"/>
          <w:lang w:val="en-US"/>
        </w:rPr>
        <w:t xml:space="preserve">pattern was defined by the presence of bursts of polyrhythmic activity alternating with periods of suppression (suppression EEG) lasting more than 50 % of the epoch. </w:t>
      </w:r>
    </w:p>
    <w:p w14:paraId="2BB75648" w14:textId="77777777" w:rsidR="005F6C7F" w:rsidRPr="00152566" w:rsidRDefault="005F6C7F" w:rsidP="005F6C7F">
      <w:pPr>
        <w:spacing w:line="48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52566">
        <w:rPr>
          <w:rFonts w:ascii="Times New Roman" w:hAnsi="Times New Roman" w:cs="Times New Roman"/>
          <w:lang w:val="en-US"/>
        </w:rPr>
        <w:t>4)</w:t>
      </w:r>
      <w:r>
        <w:rPr>
          <w:rFonts w:ascii="Times New Roman" w:hAnsi="Times New Roman" w:cs="Times New Roman"/>
          <w:lang w:val="en-US"/>
        </w:rPr>
        <w:t xml:space="preserve"> </w:t>
      </w:r>
      <w:r w:rsidRPr="00152566">
        <w:rPr>
          <w:rFonts w:ascii="Times New Roman" w:hAnsi="Times New Roman" w:cs="Times New Roman"/>
          <w:lang w:val="en-US"/>
        </w:rPr>
        <w:t xml:space="preserve">Suppression was defined by the absence of any EEG activity (&lt;10 μV) during the entire epoch. </w:t>
      </w:r>
    </w:p>
    <w:p w14:paraId="3375D316" w14:textId="77777777" w:rsidR="005F6C7F" w:rsidRPr="00152566" w:rsidRDefault="005F6C7F" w:rsidP="005F6C7F">
      <w:pPr>
        <w:spacing w:line="48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52566">
        <w:rPr>
          <w:rFonts w:ascii="Times New Roman" w:hAnsi="Times New Roman" w:cs="Times New Roman"/>
          <w:lang w:val="en-US"/>
        </w:rPr>
        <w:t>5) Seizures were defined as generalized spike-wave discharges at 3/s or faster or clearly evolving discharges of any type that reached a frequency &gt;4/s, whether focal or generalized). Status epilepticus (SE) was defined as a single epileptic seizure lasting more than five minutes or two or more seizures within a five-minute period with an incomplete return to consciousness. Previous definitions used a 30-minute time limit. The seizures could either be of the tonic-clonic type with a regular pattern of contraction and extension of the arms and legs or of types that do not involve contractions (non-convulsive status epilepticus, NCSE).</w:t>
      </w:r>
    </w:p>
    <w:p w14:paraId="4A2FBF0B" w14:textId="77777777" w:rsidR="005F6C7F" w:rsidRPr="00440677" w:rsidRDefault="005F6C7F" w:rsidP="005F6C7F">
      <w:pPr>
        <w:spacing w:line="48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52566">
        <w:rPr>
          <w:rFonts w:ascii="Times New Roman" w:hAnsi="Times New Roman" w:cs="Times New Roman"/>
          <w:lang w:val="en-US"/>
        </w:rPr>
        <w:t>6) Periodic discharges (lateralized and generalized: LPDs and GPDs, respectively) were defined as repetition of high amplitude theta or delta waves, sharp or not, occurring repeatedly, generally anteriorly predominant, with a regular frequency, and morphology. We also searched for sporadic epileptiform discharges (SEDs).</w:t>
      </w:r>
      <w:r w:rsidRPr="00152566">
        <w:rPr>
          <w:rFonts w:ascii="Times New Roman" w:hAnsi="Times New Roman" w:cs="Times New Roman"/>
          <w:lang w:val="en-US"/>
        </w:rPr>
        <w:tab/>
        <w:t xml:space="preserve"> </w:t>
      </w:r>
    </w:p>
    <w:p w14:paraId="35E8631B" w14:textId="77777777" w:rsidR="005F6C7F" w:rsidRDefault="005F6C7F"/>
    <w:sectPr w:rsidR="005F6C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C7F"/>
    <w:rsid w:val="00012F86"/>
    <w:rsid w:val="0004722E"/>
    <w:rsid w:val="001F1855"/>
    <w:rsid w:val="002C3809"/>
    <w:rsid w:val="00370657"/>
    <w:rsid w:val="005F6C7F"/>
    <w:rsid w:val="007969BC"/>
    <w:rsid w:val="007D2FBD"/>
    <w:rsid w:val="008E2847"/>
    <w:rsid w:val="00967670"/>
    <w:rsid w:val="00A11228"/>
    <w:rsid w:val="00F658A5"/>
    <w:rsid w:val="00FB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9C90A38"/>
  <w15:chartTrackingRefBased/>
  <w15:docId w15:val="{8FE407FF-DF81-C74D-8976-B6AAA06F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F6C7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2</ap:Pages>
  <ap:Words>524</ap:Words>
  <ap:Characters>2990</ap:Characters>
  <ap:Application>Microsoft Office Word</ap:Application>
  <ap:DocSecurity>0</ap:DocSecurity>
  <ap:Lines>24</ap:Lines>
  <ap:Paragraphs>7</ap:Paragraphs>
  <ap:ScaleCrop>false</ap:ScaleCrop>
  <ap:Company/>
  <ap:LinksUpToDate>false</ap:LinksUpToDate>
  <ap:CharactersWithSpaces>3507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Peluso</dc:creator>
  <cp:keywords/>
  <dc:description/>
  <cp:lastModifiedBy>Lorenzo Peluso</cp:lastModifiedBy>
  <cp:revision>1</cp:revision>
  <dcterms:created xsi:type="dcterms:W3CDTF">2020-09-08T12:53:00Z</dcterms:created>
  <dcterms:modified xsi:type="dcterms:W3CDTF">2020-09-08T12:54:00Z</dcterms:modified>
</cp:coreProperties>
</file>