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6477" w:rsidRPr="009E3478" w:rsidRDefault="00D120F7">
      <w:pPr>
        <w:rPr>
          <w:b/>
          <w:bCs/>
          <w:sz w:val="36"/>
          <w:szCs w:val="36"/>
          <w:lang w:val="en-US"/>
        </w:rPr>
      </w:pPr>
      <w:r w:rsidRPr="009E3478">
        <w:rPr>
          <w:b/>
          <w:bCs/>
          <w:sz w:val="36"/>
          <w:szCs w:val="36"/>
          <w:lang w:val="en-US"/>
        </w:rPr>
        <w:t xml:space="preserve">Additional file </w:t>
      </w:r>
      <w:r w:rsidR="00FD7573">
        <w:rPr>
          <w:b/>
          <w:bCs/>
          <w:sz w:val="36"/>
          <w:szCs w:val="36"/>
          <w:lang w:val="en-US"/>
        </w:rPr>
        <w:t>5</w:t>
      </w:r>
      <w:r w:rsidRPr="009E3478">
        <w:rPr>
          <w:b/>
          <w:bCs/>
          <w:sz w:val="36"/>
          <w:szCs w:val="36"/>
          <w:lang w:val="en-US"/>
        </w:rPr>
        <w:t xml:space="preserve">: Additional </w:t>
      </w:r>
      <w:r w:rsidR="00FD7573">
        <w:rPr>
          <w:b/>
          <w:bCs/>
          <w:sz w:val="36"/>
          <w:szCs w:val="36"/>
          <w:lang w:val="en-US"/>
        </w:rPr>
        <w:t>results</w:t>
      </w:r>
    </w:p>
    <w:p w:rsidR="00FD7573" w:rsidRPr="00163250" w:rsidRDefault="00FD7573" w:rsidP="00FD7573">
      <w:pPr>
        <w:pStyle w:val="Geenafstand"/>
        <w:spacing w:before="240" w:line="276" w:lineRule="auto"/>
        <w:rPr>
          <w:rFonts w:ascii="Calibri" w:hAnsi="Calibri" w:cs="Times New Roman"/>
          <w:lang w:val="en-US"/>
        </w:rPr>
      </w:pPr>
      <w:bookmarkStart w:id="0" w:name="_Hlk53403306"/>
      <w:r w:rsidRPr="001F4016">
        <w:rPr>
          <w:rFonts w:ascii="Calibri" w:hAnsi="Calibri"/>
          <w:b/>
          <w:caps/>
          <w:sz w:val="24"/>
          <w:lang w:val="en-US"/>
        </w:rPr>
        <w:t>A</w:t>
      </w:r>
      <w:r>
        <w:rPr>
          <w:rFonts w:ascii="Calibri" w:hAnsi="Calibri" w:cs="Times New Roman"/>
          <w:b/>
          <w:sz w:val="24"/>
          <w:lang w:val="en-US"/>
        </w:rPr>
        <w:t>dditional</w:t>
      </w:r>
      <w:r w:rsidRPr="00163250">
        <w:rPr>
          <w:rFonts w:ascii="Calibri" w:hAnsi="Calibri" w:cs="Times New Roman"/>
          <w:b/>
          <w:sz w:val="24"/>
          <w:lang w:val="en-US"/>
        </w:rPr>
        <w:t xml:space="preserve"> results</w:t>
      </w:r>
      <w:r w:rsidRPr="00163250">
        <w:rPr>
          <w:rFonts w:ascii="Calibri" w:hAnsi="Calibri" w:cs="Times New Roman"/>
          <w:lang w:val="en-US"/>
        </w:rPr>
        <w:br/>
      </w:r>
      <w:r w:rsidRPr="00163250">
        <w:rPr>
          <w:rFonts w:ascii="Calibri" w:hAnsi="Calibri" w:cs="Times New Roman"/>
          <w:b/>
          <w:lang w:val="en-US"/>
        </w:rPr>
        <w:t>Propensity score matched analysis</w:t>
      </w:r>
    </w:p>
    <w:p w:rsidR="00FD7573" w:rsidRPr="00163250" w:rsidRDefault="00FD7573" w:rsidP="00FD7573">
      <w:pPr>
        <w:pStyle w:val="Geenafstand"/>
        <w:spacing w:line="276" w:lineRule="auto"/>
        <w:rPr>
          <w:rFonts w:ascii="Calibri" w:hAnsi="Calibri" w:cs="Times New Roman"/>
          <w:lang w:val="en-US"/>
        </w:rPr>
      </w:pPr>
      <w:r w:rsidRPr="00163250">
        <w:rPr>
          <w:rFonts w:ascii="Calibri" w:hAnsi="Calibri" w:cs="Times New Roman"/>
          <w:lang w:val="en-US"/>
        </w:rPr>
        <w:t>Propensity score matching increased the similarity in patient characteristics between the anakinra and control groups (</w:t>
      </w:r>
      <w:r w:rsidR="00F24109">
        <w:rPr>
          <w:rFonts w:ascii="Calibri" w:hAnsi="Calibri" w:cs="Times New Roman"/>
          <w:lang w:val="en-US"/>
        </w:rPr>
        <w:t>Supplementary</w:t>
      </w:r>
      <w:r w:rsidRPr="00163250">
        <w:rPr>
          <w:rFonts w:ascii="Calibri" w:hAnsi="Calibri" w:cs="Times New Roman"/>
          <w:lang w:val="en-US"/>
        </w:rPr>
        <w:t xml:space="preserve"> Table 2</w:t>
      </w:r>
      <w:r w:rsidR="00F24109">
        <w:rPr>
          <w:rFonts w:ascii="Calibri" w:hAnsi="Calibri" w:cs="Times New Roman"/>
          <w:lang w:val="en-US"/>
        </w:rPr>
        <w:t>, Additional File 6</w:t>
      </w:r>
      <w:r w:rsidRPr="00163250">
        <w:rPr>
          <w:rFonts w:ascii="Calibri" w:hAnsi="Calibri" w:cs="Times New Roman"/>
          <w:lang w:val="en-US"/>
        </w:rPr>
        <w:t>). Analysis of circulating cytokine concentrations showed results comparable to the primary analysis (</w:t>
      </w:r>
      <w:r w:rsidR="00F24109">
        <w:rPr>
          <w:rFonts w:ascii="Calibri" w:hAnsi="Calibri" w:cs="Times New Roman"/>
          <w:lang w:val="en-US"/>
        </w:rPr>
        <w:t xml:space="preserve">Supplementary </w:t>
      </w:r>
      <w:r w:rsidRPr="00163250">
        <w:rPr>
          <w:rFonts w:ascii="Calibri" w:hAnsi="Calibri" w:cs="Times New Roman"/>
          <w:lang w:val="en-US"/>
        </w:rPr>
        <w:t>Fig. 3</w:t>
      </w:r>
      <w:r w:rsidR="00F24109">
        <w:rPr>
          <w:rFonts w:ascii="Calibri" w:hAnsi="Calibri" w:cs="Times New Roman"/>
          <w:lang w:val="en-US"/>
        </w:rPr>
        <w:t>, Additional File 9</w:t>
      </w:r>
      <w:r w:rsidRPr="00163250">
        <w:rPr>
          <w:rFonts w:ascii="Calibri" w:hAnsi="Calibri" w:cs="Times New Roman"/>
          <w:lang w:val="en-US"/>
        </w:rPr>
        <w:t>). Unlike the results of the primary analysis, significance was reached for the decrease in CRP plasma levels in the a</w:t>
      </w:r>
      <w:bookmarkStart w:id="1" w:name="_GoBack"/>
      <w:bookmarkEnd w:id="1"/>
      <w:r w:rsidRPr="00163250">
        <w:rPr>
          <w:rFonts w:ascii="Calibri" w:hAnsi="Calibri" w:cs="Times New Roman"/>
          <w:lang w:val="en-US"/>
        </w:rPr>
        <w:t>nakinra group after alignment day (p=0.003) (</w:t>
      </w:r>
      <w:r w:rsidR="00F24109">
        <w:rPr>
          <w:rFonts w:ascii="Calibri" w:hAnsi="Calibri" w:cs="Times New Roman"/>
          <w:lang w:val="en-US"/>
        </w:rPr>
        <w:t>Supplementary</w:t>
      </w:r>
      <w:r w:rsidRPr="00163250">
        <w:rPr>
          <w:rFonts w:ascii="Calibri" w:hAnsi="Calibri" w:cs="Times New Roman"/>
          <w:lang w:val="en-US"/>
        </w:rPr>
        <w:t xml:space="preserve"> Fig. 4e</w:t>
      </w:r>
      <w:r w:rsidR="00F24109">
        <w:rPr>
          <w:rFonts w:ascii="Calibri" w:hAnsi="Calibri" w:cs="Times New Roman"/>
          <w:lang w:val="en-US"/>
        </w:rPr>
        <w:t>, Additional File 10</w:t>
      </w:r>
      <w:r w:rsidRPr="00163250">
        <w:rPr>
          <w:rFonts w:ascii="Calibri" w:hAnsi="Calibri" w:cs="Times New Roman"/>
          <w:lang w:val="en-US"/>
        </w:rPr>
        <w:t>). Kinetics of all other clinical parameters were on a par with results of the primary analysis (</w:t>
      </w:r>
      <w:r w:rsidR="00F24109">
        <w:rPr>
          <w:rFonts w:ascii="Calibri" w:hAnsi="Calibri" w:cs="Times New Roman"/>
          <w:lang w:val="en-US"/>
        </w:rPr>
        <w:t>Supplementary</w:t>
      </w:r>
      <w:r w:rsidRPr="00163250">
        <w:rPr>
          <w:rFonts w:ascii="Calibri" w:hAnsi="Calibri" w:cs="Times New Roman"/>
          <w:lang w:val="en-US"/>
        </w:rPr>
        <w:t xml:space="preserve"> Fig. 4 and 5</w:t>
      </w:r>
      <w:r w:rsidR="00F24109">
        <w:rPr>
          <w:rFonts w:ascii="Calibri" w:hAnsi="Calibri" w:cs="Times New Roman"/>
          <w:lang w:val="en-US"/>
        </w:rPr>
        <w:t>, Additional Files 10 and 11</w:t>
      </w:r>
      <w:r w:rsidRPr="00163250">
        <w:rPr>
          <w:rFonts w:ascii="Calibri" w:hAnsi="Calibri" w:cs="Times New Roman"/>
          <w:lang w:val="en-US"/>
        </w:rPr>
        <w:t xml:space="preserve">). No significant differences in use of corticosteroids, </w:t>
      </w:r>
      <w:proofErr w:type="spellStart"/>
      <w:r w:rsidRPr="00163250">
        <w:rPr>
          <w:rFonts w:ascii="Calibri" w:hAnsi="Calibri" w:cs="Times New Roman"/>
          <w:lang w:val="en-US"/>
        </w:rPr>
        <w:t>remdesivir</w:t>
      </w:r>
      <w:proofErr w:type="spellEnd"/>
      <w:r w:rsidRPr="00163250">
        <w:rPr>
          <w:rFonts w:ascii="Calibri" w:hAnsi="Calibri" w:cs="Times New Roman"/>
          <w:lang w:val="en-US"/>
        </w:rPr>
        <w:t xml:space="preserve"> and chloroquine were present (</w:t>
      </w:r>
      <w:r w:rsidR="00F24109">
        <w:rPr>
          <w:rFonts w:ascii="Calibri" w:hAnsi="Calibri" w:cs="Times New Roman"/>
          <w:lang w:val="en-US"/>
        </w:rPr>
        <w:t>Supplementary</w:t>
      </w:r>
      <w:r w:rsidRPr="00163250">
        <w:rPr>
          <w:rFonts w:ascii="Calibri" w:hAnsi="Calibri" w:cs="Times New Roman"/>
          <w:lang w:val="en-US"/>
        </w:rPr>
        <w:t xml:space="preserve"> Fig. 6</w:t>
      </w:r>
      <w:r w:rsidR="00F24109">
        <w:rPr>
          <w:rFonts w:ascii="Calibri" w:hAnsi="Calibri" w:cs="Times New Roman"/>
          <w:lang w:val="en-US"/>
        </w:rPr>
        <w:t>, Additional File 12</w:t>
      </w:r>
      <w:r w:rsidRPr="00163250">
        <w:rPr>
          <w:rFonts w:ascii="Calibri" w:hAnsi="Calibri" w:cs="Times New Roman"/>
          <w:lang w:val="en-US"/>
        </w:rPr>
        <w:t>). Also, analysis of clinical outcomes in propensity score matched groups yielded comparable results (</w:t>
      </w:r>
      <w:r w:rsidR="00F24109">
        <w:rPr>
          <w:rFonts w:ascii="Calibri" w:hAnsi="Calibri" w:cs="Times New Roman"/>
          <w:lang w:val="en-US"/>
        </w:rPr>
        <w:t>Supplementary</w:t>
      </w:r>
      <w:r w:rsidRPr="00163250">
        <w:rPr>
          <w:rFonts w:ascii="Calibri" w:hAnsi="Calibri" w:cs="Times New Roman"/>
          <w:lang w:val="en-US"/>
        </w:rPr>
        <w:t xml:space="preserve"> Fig. 7</w:t>
      </w:r>
      <w:r w:rsidR="00F24109">
        <w:rPr>
          <w:rFonts w:ascii="Calibri" w:hAnsi="Calibri" w:cs="Times New Roman"/>
          <w:lang w:val="en-US"/>
        </w:rPr>
        <w:t>, Additional File 13</w:t>
      </w:r>
      <w:r w:rsidRPr="00163250">
        <w:rPr>
          <w:rFonts w:ascii="Calibri" w:hAnsi="Calibri" w:cs="Times New Roman"/>
          <w:lang w:val="en-US"/>
        </w:rPr>
        <w:t>).</w:t>
      </w:r>
    </w:p>
    <w:p w:rsidR="00FD7573" w:rsidRPr="00163250" w:rsidRDefault="00FD7573" w:rsidP="00FD7573">
      <w:pPr>
        <w:pStyle w:val="Geenafstand"/>
        <w:spacing w:line="276" w:lineRule="auto"/>
        <w:rPr>
          <w:rFonts w:ascii="Calibri" w:hAnsi="Calibri" w:cs="Times New Roman"/>
          <w:lang w:val="en-US"/>
        </w:rPr>
      </w:pPr>
    </w:p>
    <w:p w:rsidR="00FD7573" w:rsidRPr="00163250" w:rsidRDefault="00FD7573" w:rsidP="00FD7573">
      <w:pPr>
        <w:pStyle w:val="Geenafstand"/>
        <w:spacing w:line="276" w:lineRule="auto"/>
        <w:rPr>
          <w:rFonts w:ascii="Calibri" w:hAnsi="Calibri" w:cs="Times New Roman"/>
          <w:b/>
          <w:lang w:val="en-US"/>
        </w:rPr>
      </w:pPr>
      <w:r w:rsidRPr="00163250">
        <w:rPr>
          <w:rFonts w:ascii="Calibri" w:hAnsi="Calibri" w:cs="Times New Roman"/>
          <w:b/>
          <w:lang w:val="en-US"/>
        </w:rPr>
        <w:t>S</w:t>
      </w:r>
      <w:r>
        <w:rPr>
          <w:rFonts w:ascii="Calibri" w:hAnsi="Calibri" w:cs="Times New Roman"/>
          <w:b/>
          <w:lang w:val="en-US"/>
        </w:rPr>
        <w:t>ensitivity</w:t>
      </w:r>
      <w:r w:rsidRPr="00163250">
        <w:rPr>
          <w:rFonts w:ascii="Calibri" w:hAnsi="Calibri" w:cs="Times New Roman"/>
          <w:b/>
          <w:lang w:val="en-US"/>
        </w:rPr>
        <w:t xml:space="preserve"> analysis in patients who did not receive corticosteroids</w:t>
      </w:r>
    </w:p>
    <w:p w:rsidR="00FD7573" w:rsidRDefault="00FD7573" w:rsidP="00FD7573">
      <w:pPr>
        <w:rPr>
          <w:rFonts w:ascii="Calibri" w:hAnsi="Calibri" w:cs="Times New Roman"/>
          <w:lang w:val="en-US"/>
        </w:rPr>
      </w:pPr>
      <w:r w:rsidRPr="00163250">
        <w:rPr>
          <w:rFonts w:ascii="Calibri" w:hAnsi="Calibri" w:cs="Times New Roman"/>
          <w:lang w:val="en-US"/>
        </w:rPr>
        <w:t>During the study period, three patients of the anakinra group and 14 patients of the control group were treated with corticosteroids and therefore excluded for this analysis. No significant differences in patient characteristics and clinical parameters on ICU admission day were present (</w:t>
      </w:r>
      <w:r w:rsidR="00F24109">
        <w:rPr>
          <w:rFonts w:ascii="Calibri" w:hAnsi="Calibri" w:cs="Times New Roman"/>
          <w:lang w:val="en-US"/>
        </w:rPr>
        <w:t>Supplementary</w:t>
      </w:r>
      <w:r w:rsidRPr="00163250">
        <w:rPr>
          <w:rFonts w:ascii="Calibri" w:hAnsi="Calibri" w:cs="Times New Roman"/>
          <w:lang w:val="en-US"/>
        </w:rPr>
        <w:t xml:space="preserve"> Table 3</w:t>
      </w:r>
      <w:r w:rsidR="00F24109">
        <w:rPr>
          <w:rFonts w:ascii="Calibri" w:hAnsi="Calibri" w:cs="Times New Roman"/>
          <w:lang w:val="en-US"/>
        </w:rPr>
        <w:t>, Additional File 7</w:t>
      </w:r>
      <w:r w:rsidRPr="00163250">
        <w:rPr>
          <w:rFonts w:ascii="Calibri" w:hAnsi="Calibri" w:cs="Times New Roman"/>
          <w:lang w:val="en-US"/>
        </w:rPr>
        <w:t>). Circulating cytokine concentrations showed no significant between-group differences in TNF-α and MCP-1 anymore (</w:t>
      </w:r>
      <w:r w:rsidR="00F24109">
        <w:rPr>
          <w:rFonts w:ascii="Calibri" w:hAnsi="Calibri" w:cs="Times New Roman"/>
          <w:lang w:val="en-US"/>
        </w:rPr>
        <w:t>Supplementary</w:t>
      </w:r>
      <w:r>
        <w:rPr>
          <w:rFonts w:ascii="Calibri" w:hAnsi="Calibri" w:cs="Times New Roman"/>
          <w:lang w:val="en-US"/>
        </w:rPr>
        <w:t xml:space="preserve"> </w:t>
      </w:r>
      <w:r w:rsidRPr="00163250">
        <w:rPr>
          <w:rFonts w:ascii="Calibri" w:hAnsi="Calibri" w:cs="Times New Roman"/>
          <w:lang w:val="en-US"/>
        </w:rPr>
        <w:t>Fig. 8a, f</w:t>
      </w:r>
      <w:r w:rsidR="00F24109">
        <w:rPr>
          <w:rFonts w:ascii="Calibri" w:hAnsi="Calibri" w:cs="Times New Roman"/>
          <w:lang w:val="en-US"/>
        </w:rPr>
        <w:t>, Additional File 14</w:t>
      </w:r>
      <w:r w:rsidRPr="00163250">
        <w:rPr>
          <w:rFonts w:ascii="Calibri" w:hAnsi="Calibri" w:cs="Times New Roman"/>
          <w:lang w:val="en-US"/>
        </w:rPr>
        <w:t>). Kinetics of other circulating cytokine concentrations were comparable to those in the primary analysis (</w:t>
      </w:r>
      <w:r w:rsidR="00F24109">
        <w:rPr>
          <w:rFonts w:ascii="Calibri" w:hAnsi="Calibri" w:cs="Times New Roman"/>
          <w:lang w:val="en-US"/>
        </w:rPr>
        <w:t>Supplementary</w:t>
      </w:r>
      <w:r w:rsidR="00F24109">
        <w:rPr>
          <w:rFonts w:ascii="Calibri" w:hAnsi="Calibri" w:cs="Times New Roman"/>
          <w:lang w:val="en-US"/>
        </w:rPr>
        <w:t xml:space="preserve"> </w:t>
      </w:r>
      <w:r w:rsidRPr="00163250">
        <w:rPr>
          <w:rFonts w:ascii="Calibri" w:hAnsi="Calibri" w:cs="Times New Roman"/>
          <w:lang w:val="en-US"/>
        </w:rPr>
        <w:t>Fig. 8</w:t>
      </w:r>
      <w:r w:rsidR="00F24109">
        <w:rPr>
          <w:rFonts w:ascii="Calibri" w:hAnsi="Calibri" w:cs="Times New Roman"/>
          <w:lang w:val="en-US"/>
        </w:rPr>
        <w:t>, Additional File 14</w:t>
      </w:r>
      <w:r w:rsidRPr="00163250">
        <w:rPr>
          <w:rFonts w:ascii="Calibri" w:hAnsi="Calibri" w:cs="Times New Roman"/>
          <w:lang w:val="en-US"/>
        </w:rPr>
        <w:t>). The clinical inflammatory parameters showed largely comparable results to the primary analysis (</w:t>
      </w:r>
      <w:r w:rsidR="00F24109">
        <w:rPr>
          <w:rFonts w:ascii="Calibri" w:hAnsi="Calibri" w:cs="Times New Roman"/>
          <w:lang w:val="en-US"/>
        </w:rPr>
        <w:t>Supplementary</w:t>
      </w:r>
      <w:r w:rsidRPr="00163250">
        <w:rPr>
          <w:rFonts w:ascii="Calibri" w:hAnsi="Calibri" w:cs="Times New Roman"/>
          <w:lang w:val="en-US"/>
        </w:rPr>
        <w:t xml:space="preserve"> Fig. 9</w:t>
      </w:r>
      <w:r w:rsidR="00F24109">
        <w:rPr>
          <w:rFonts w:ascii="Calibri" w:hAnsi="Calibri" w:cs="Times New Roman"/>
          <w:lang w:val="en-US"/>
        </w:rPr>
        <w:t>, Additional File 15</w:t>
      </w:r>
      <w:r w:rsidRPr="00163250">
        <w:rPr>
          <w:rFonts w:ascii="Calibri" w:hAnsi="Calibri" w:cs="Times New Roman"/>
          <w:lang w:val="en-US"/>
        </w:rPr>
        <w:t xml:space="preserve">), with the decrease in CRP after start of anakinra treatment becoming significant (p=0.001), whereas significance was lost for temperature. The decrease in creatinine after start of anakinra treatment remained present, albeit slightly less pronounced than in the primary analysis (p=0.06, </w:t>
      </w:r>
      <w:r w:rsidR="00F24109">
        <w:rPr>
          <w:rFonts w:ascii="Calibri" w:hAnsi="Calibri" w:cs="Times New Roman"/>
          <w:lang w:val="en-US"/>
        </w:rPr>
        <w:t>Supplementary</w:t>
      </w:r>
      <w:r w:rsidRPr="00163250">
        <w:rPr>
          <w:rFonts w:ascii="Calibri" w:hAnsi="Calibri" w:cs="Times New Roman"/>
          <w:lang w:val="en-US"/>
        </w:rPr>
        <w:t xml:space="preserve"> Fig. 10a</w:t>
      </w:r>
      <w:r w:rsidR="00F24109">
        <w:rPr>
          <w:rFonts w:ascii="Calibri" w:hAnsi="Calibri" w:cs="Times New Roman"/>
          <w:lang w:val="en-US"/>
        </w:rPr>
        <w:t>, Additional File 16</w:t>
      </w:r>
      <w:r w:rsidRPr="00163250">
        <w:rPr>
          <w:rFonts w:ascii="Calibri" w:hAnsi="Calibri" w:cs="Times New Roman"/>
          <w:lang w:val="en-US"/>
        </w:rPr>
        <w:t>). Kinetics of bilirubin plasma levels, thrombocyte counts, PaO</w:t>
      </w:r>
      <w:r w:rsidRPr="0057208F">
        <w:rPr>
          <w:rFonts w:ascii="Calibri" w:hAnsi="Calibri" w:cs="Times New Roman"/>
          <w:lang w:val="en-US"/>
        </w:rPr>
        <w:t>2</w:t>
      </w:r>
      <w:r w:rsidRPr="00163250">
        <w:rPr>
          <w:rFonts w:ascii="Calibri" w:hAnsi="Calibri" w:cs="Times New Roman"/>
          <w:lang w:val="en-US"/>
        </w:rPr>
        <w:t>/FiO</w:t>
      </w:r>
      <w:r w:rsidRPr="0057208F">
        <w:rPr>
          <w:rFonts w:ascii="Calibri" w:hAnsi="Calibri" w:cs="Times New Roman"/>
          <w:lang w:val="en-US"/>
        </w:rPr>
        <w:t>2</w:t>
      </w:r>
      <w:r w:rsidRPr="00163250">
        <w:rPr>
          <w:rFonts w:ascii="Calibri" w:hAnsi="Calibri" w:cs="Times New Roman"/>
          <w:lang w:val="en-US"/>
        </w:rPr>
        <w:t xml:space="preserve"> ratio, norepinephrine infusion rate and total SOFA score were comparable to the results in our primary analysis (</w:t>
      </w:r>
      <w:r w:rsidR="00F24109">
        <w:rPr>
          <w:rFonts w:ascii="Calibri" w:hAnsi="Calibri" w:cs="Times New Roman"/>
          <w:lang w:val="en-US"/>
        </w:rPr>
        <w:t>Supplementary</w:t>
      </w:r>
      <w:r w:rsidRPr="00163250">
        <w:rPr>
          <w:rFonts w:ascii="Calibri" w:hAnsi="Calibri" w:cs="Times New Roman"/>
          <w:lang w:val="en-US"/>
        </w:rPr>
        <w:t xml:space="preserve"> Fig. 10</w:t>
      </w:r>
      <w:r w:rsidR="00F24109">
        <w:rPr>
          <w:rFonts w:ascii="Calibri" w:hAnsi="Calibri" w:cs="Times New Roman"/>
          <w:lang w:val="en-US"/>
        </w:rPr>
        <w:t>, Additional File 16</w:t>
      </w:r>
      <w:r w:rsidRPr="00163250">
        <w:rPr>
          <w:rFonts w:ascii="Calibri" w:hAnsi="Calibri" w:cs="Times New Roman"/>
          <w:lang w:val="en-US"/>
        </w:rPr>
        <w:t>). As in the primary analysis, no differences in time on mechanical ventilation, ICU length of stay and mortality were present (</w:t>
      </w:r>
      <w:r w:rsidR="00F24109">
        <w:rPr>
          <w:rFonts w:ascii="Calibri" w:hAnsi="Calibri" w:cs="Times New Roman"/>
          <w:lang w:val="en-US"/>
        </w:rPr>
        <w:t>Supplementary</w:t>
      </w:r>
      <w:r w:rsidRPr="00163250">
        <w:rPr>
          <w:rFonts w:ascii="Calibri" w:hAnsi="Calibri" w:cs="Times New Roman"/>
          <w:lang w:val="en-US"/>
        </w:rPr>
        <w:t xml:space="preserve"> Fig. 11</w:t>
      </w:r>
      <w:r w:rsidR="00F24109">
        <w:rPr>
          <w:rFonts w:ascii="Calibri" w:hAnsi="Calibri" w:cs="Times New Roman"/>
          <w:lang w:val="en-US"/>
        </w:rPr>
        <w:t>, Additional File 17</w:t>
      </w:r>
      <w:r w:rsidRPr="00163250">
        <w:rPr>
          <w:rFonts w:ascii="Calibri" w:hAnsi="Calibri" w:cs="Times New Roman"/>
          <w:lang w:val="en-US"/>
        </w:rPr>
        <w:t>).</w:t>
      </w:r>
    </w:p>
    <w:p w:rsidR="00FD7573" w:rsidRDefault="00FD7573" w:rsidP="00FD7573">
      <w:pPr>
        <w:pStyle w:val="Geenafstand"/>
        <w:rPr>
          <w:lang w:val="en-US"/>
        </w:rPr>
      </w:pPr>
    </w:p>
    <w:p w:rsidR="00FD7573" w:rsidRDefault="00FD7573" w:rsidP="00FD7573">
      <w:pPr>
        <w:pStyle w:val="Geenafstand"/>
        <w:rPr>
          <w:b/>
          <w:bCs/>
          <w:lang w:val="en-US"/>
        </w:rPr>
      </w:pPr>
      <w:r w:rsidRPr="00EF60C3">
        <w:rPr>
          <w:b/>
          <w:bCs/>
          <w:lang w:val="en-US"/>
        </w:rPr>
        <w:t>Sensitivity analysis</w:t>
      </w:r>
      <w:r>
        <w:rPr>
          <w:b/>
          <w:bCs/>
          <w:lang w:val="en-US"/>
        </w:rPr>
        <w:t xml:space="preserve"> using </w:t>
      </w:r>
      <w:r w:rsidRPr="00EF60C3">
        <w:rPr>
          <w:b/>
          <w:bCs/>
          <w:lang w:val="en-US"/>
        </w:rPr>
        <w:t>control patients</w:t>
      </w:r>
      <w:r>
        <w:rPr>
          <w:b/>
          <w:bCs/>
          <w:lang w:val="en-US"/>
        </w:rPr>
        <w:t xml:space="preserve"> with persisting fever/high ferritin plasma levels</w:t>
      </w:r>
    </w:p>
    <w:p w:rsidR="00FD7573" w:rsidRPr="00CB3735" w:rsidRDefault="00FD7573" w:rsidP="00FD7573">
      <w:pPr>
        <w:spacing w:after="0"/>
        <w:rPr>
          <w:rFonts w:ascii="Calibri" w:eastAsia="Calibri" w:hAnsi="Calibri" w:cs="Times New Roman"/>
          <w:b/>
          <w:bCs/>
          <w:lang w:val="en-GB"/>
        </w:rPr>
      </w:pPr>
      <w:bookmarkStart w:id="2" w:name="_Hlk53130043"/>
      <w:r w:rsidRPr="00CB3735">
        <w:rPr>
          <w:rFonts w:cs="Times New Roman"/>
          <w:lang w:val="en-US"/>
        </w:rPr>
        <w:t>A total of 33 patients of the control group of the main analysis developed a period of fever (n=17) or high ferritin plasma levels (n=16) during their ICU stay. The median alignment day of this subgroup was day 6 post-ICU admission. No significant differences in patient characteristics and clinical parameters on ICU admission were present between this control group and the anakinra group (</w:t>
      </w:r>
      <w:r w:rsidR="00F24109">
        <w:rPr>
          <w:rFonts w:ascii="Calibri" w:hAnsi="Calibri" w:cs="Times New Roman"/>
          <w:lang w:val="en-US"/>
        </w:rPr>
        <w:t>Supplementary</w:t>
      </w:r>
      <w:r w:rsidRPr="00CB3735">
        <w:rPr>
          <w:rFonts w:cs="Times New Roman"/>
          <w:lang w:val="en-US"/>
        </w:rPr>
        <w:t xml:space="preserve"> Table 4</w:t>
      </w:r>
      <w:r w:rsidR="00F24109">
        <w:rPr>
          <w:rFonts w:cs="Times New Roman"/>
          <w:lang w:val="en-US"/>
        </w:rPr>
        <w:t>, Additional File 8</w:t>
      </w:r>
      <w:r w:rsidRPr="00CB3735">
        <w:rPr>
          <w:rFonts w:cs="Times New Roman"/>
          <w:lang w:val="en-US"/>
        </w:rPr>
        <w:t>). On alignment day, PaO</w:t>
      </w:r>
      <w:r w:rsidRPr="00CB3735">
        <w:rPr>
          <w:rFonts w:cs="Times New Roman"/>
          <w:vertAlign w:val="subscript"/>
          <w:lang w:val="en-US"/>
        </w:rPr>
        <w:t>2</w:t>
      </w:r>
      <w:r w:rsidRPr="00CB3735">
        <w:rPr>
          <w:rFonts w:cs="Times New Roman"/>
          <w:lang w:val="en-US"/>
        </w:rPr>
        <w:t>/FiO</w:t>
      </w:r>
      <w:r w:rsidRPr="00CB3735">
        <w:rPr>
          <w:rFonts w:cs="Times New Roman"/>
          <w:vertAlign w:val="subscript"/>
          <w:lang w:val="en-US"/>
        </w:rPr>
        <w:t>2</w:t>
      </w:r>
      <w:r w:rsidRPr="00CB3735">
        <w:rPr>
          <w:rFonts w:cs="Times New Roman"/>
          <w:lang w:val="en-US"/>
        </w:rPr>
        <w:t xml:space="preserve"> ratio was 188 [133-268] mmHg in the anakinra group versus 155 [124-170] mmHg in the control group (p=0.03). The time between the start of COVID-19 symptoms and alignment day was 22 [19-27] days in the anakinra group and 18 [13-23] days in the control group (p=0.008). No other significant differences between both groups were present on alignment day (</w:t>
      </w:r>
      <w:r w:rsidR="00F24109">
        <w:rPr>
          <w:rFonts w:ascii="Calibri" w:hAnsi="Calibri" w:cs="Times New Roman"/>
          <w:lang w:val="en-US"/>
        </w:rPr>
        <w:t>Supplementary</w:t>
      </w:r>
      <w:r w:rsidRPr="00CB3735">
        <w:rPr>
          <w:rFonts w:cs="Times New Roman"/>
          <w:lang w:val="en-US"/>
        </w:rPr>
        <w:t xml:space="preserve"> Table 4</w:t>
      </w:r>
      <w:r w:rsidR="00F24109">
        <w:rPr>
          <w:rFonts w:cs="Times New Roman"/>
          <w:lang w:val="en-US"/>
        </w:rPr>
        <w:t>, Additional File 8</w:t>
      </w:r>
      <w:r w:rsidRPr="00CB3735">
        <w:rPr>
          <w:rFonts w:cs="Times New Roman"/>
          <w:lang w:val="en-US"/>
        </w:rPr>
        <w:t xml:space="preserve">). In general, effects of anakinra treatment on inflammatory parameters in this sensitivity analysis were comparable to those of the main analysis, although statistical significance was lost for some parameters (temperature) and emerged for others (CRP, several cytokines, </w:t>
      </w:r>
      <w:r w:rsidR="00F24109">
        <w:rPr>
          <w:rFonts w:ascii="Calibri" w:hAnsi="Calibri" w:cs="Times New Roman"/>
          <w:lang w:val="en-US"/>
        </w:rPr>
        <w:t>Supplementary</w:t>
      </w:r>
      <w:r w:rsidRPr="00CB3735">
        <w:rPr>
          <w:rFonts w:cs="Times New Roman"/>
          <w:lang w:val="en-US"/>
        </w:rPr>
        <w:t xml:space="preserve"> Fig. 12-</w:t>
      </w:r>
      <w:r w:rsidRPr="00CB3735">
        <w:rPr>
          <w:rFonts w:cs="Times New Roman"/>
          <w:lang w:val="en-US"/>
        </w:rPr>
        <w:lastRenderedPageBreak/>
        <w:t>13</w:t>
      </w:r>
      <w:r w:rsidR="00F24109">
        <w:rPr>
          <w:rFonts w:cs="Times New Roman"/>
          <w:lang w:val="en-US"/>
        </w:rPr>
        <w:t>, Additional Files 18-19</w:t>
      </w:r>
      <w:r w:rsidRPr="00CB3735">
        <w:rPr>
          <w:rFonts w:cs="Times New Roman"/>
          <w:lang w:val="en-US"/>
        </w:rPr>
        <w:t>). The significant between-group differences in several cytokines in this sensitivity analysis are likely due to the earlier day of alignment of the control group (day 6 vs. day 12 in the main analyses). As cytokine levels are highest on ICU admission and gradually decrease thereafter (see Fig. 1), the 6-day difference in day of alignment is a plausible explanation for the higher concentrations of circulating cytokines on alignment day in the control group (</w:t>
      </w:r>
      <w:r w:rsidR="00F24109">
        <w:rPr>
          <w:rFonts w:ascii="Calibri" w:hAnsi="Calibri" w:cs="Times New Roman"/>
          <w:lang w:val="en-US"/>
        </w:rPr>
        <w:t>Supplementary</w:t>
      </w:r>
      <w:r w:rsidRPr="00CB3735">
        <w:rPr>
          <w:rFonts w:cs="Times New Roman"/>
          <w:lang w:val="en-US"/>
        </w:rPr>
        <w:t xml:space="preserve"> Fig. 12</w:t>
      </w:r>
      <w:r w:rsidR="00F24109">
        <w:rPr>
          <w:rFonts w:cs="Times New Roman"/>
          <w:lang w:val="en-US"/>
        </w:rPr>
        <w:t>, Additional File 18</w:t>
      </w:r>
      <w:r w:rsidRPr="00CB3735">
        <w:rPr>
          <w:rFonts w:cs="Times New Roman"/>
          <w:lang w:val="en-US"/>
        </w:rPr>
        <w:t>). Results of other clinical inflammatory parameters, SOFA-score (and its individual components) and clinical outcomes were comparable to the results of the main analysis (</w:t>
      </w:r>
      <w:r w:rsidR="00F24109">
        <w:rPr>
          <w:rFonts w:ascii="Calibri" w:hAnsi="Calibri" w:cs="Times New Roman"/>
          <w:lang w:val="en-US"/>
        </w:rPr>
        <w:t>Supplementary</w:t>
      </w:r>
      <w:r w:rsidRPr="00CB3735">
        <w:rPr>
          <w:rFonts w:cs="Times New Roman"/>
          <w:lang w:val="en-US"/>
        </w:rPr>
        <w:t xml:space="preserve"> Fig. 13-15</w:t>
      </w:r>
      <w:r w:rsidR="00F24109">
        <w:rPr>
          <w:rFonts w:cs="Times New Roman"/>
          <w:lang w:val="en-US"/>
        </w:rPr>
        <w:t>, Additional Files 19-21</w:t>
      </w:r>
      <w:r w:rsidRPr="00CB3735">
        <w:rPr>
          <w:rFonts w:cs="Times New Roman"/>
          <w:lang w:val="en-US"/>
        </w:rPr>
        <w:t>).</w:t>
      </w:r>
      <w:bookmarkEnd w:id="2"/>
    </w:p>
    <w:bookmarkEnd w:id="0"/>
    <w:p w:rsidR="00D120F7" w:rsidRPr="00FD7573" w:rsidRDefault="00D120F7" w:rsidP="00FD7573">
      <w:pPr>
        <w:spacing w:after="0"/>
        <w:rPr>
          <w:lang w:val="en-GB"/>
        </w:rPr>
      </w:pPr>
    </w:p>
    <w:p w:rsidR="00AC57A2" w:rsidRPr="00FD7573" w:rsidRDefault="00AC57A2">
      <w:pPr>
        <w:spacing w:after="0"/>
        <w:rPr>
          <w:lang w:val="en-GB"/>
        </w:rPr>
      </w:pPr>
    </w:p>
    <w:sectPr w:rsidR="00AC57A2" w:rsidRPr="00FD75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altName w:val="Calibr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0F7"/>
    <w:rsid w:val="004F50E3"/>
    <w:rsid w:val="006F16A7"/>
    <w:rsid w:val="0091246E"/>
    <w:rsid w:val="009E3478"/>
    <w:rsid w:val="00AC57A2"/>
    <w:rsid w:val="00D120F7"/>
    <w:rsid w:val="00D26BA0"/>
    <w:rsid w:val="00E10DC1"/>
    <w:rsid w:val="00F24109"/>
    <w:rsid w:val="00FC0B8B"/>
    <w:rsid w:val="00FD75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DBB1E"/>
  <w15:chartTrackingRefBased/>
  <w15:docId w15:val="{146597A9-BADD-4708-8CCB-4A988BA51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D120F7"/>
    <w:pPr>
      <w:spacing w:after="0" w:line="240" w:lineRule="auto"/>
    </w:pPr>
  </w:style>
  <w:style w:type="character" w:customStyle="1" w:styleId="GeenafstandChar">
    <w:name w:val="Geen afstand Char"/>
    <w:basedOn w:val="Standaardalinea-lettertype"/>
    <w:link w:val="Geenafstand"/>
    <w:uiPriority w:val="1"/>
    <w:rsid w:val="00D120F7"/>
  </w:style>
  <w:style w:type="table" w:styleId="Tabelraster">
    <w:name w:val="Table Grid"/>
    <w:basedOn w:val="Standaardtabel"/>
    <w:uiPriority w:val="59"/>
    <w:rsid w:val="009E34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FD757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D75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707</Words>
  <Characters>3892</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RaboudUMC</Company>
  <LinksUpToDate>false</LinksUpToDate>
  <CharactersWithSpaces>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Kooistra, Emma</dc:creator>
  <cp:keywords/>
  <dc:description/>
  <cp:lastModifiedBy>Kooistra, Emma</cp:lastModifiedBy>
  <cp:revision>3</cp:revision>
  <dcterms:created xsi:type="dcterms:W3CDTF">2020-10-12T11:55:00Z</dcterms:created>
  <dcterms:modified xsi:type="dcterms:W3CDTF">2020-10-12T13:28:00Z</dcterms:modified>
</cp:coreProperties>
</file>