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65E1F" w14:textId="0251556E" w:rsidR="001A00D0" w:rsidRDefault="008F05D0">
      <w:r w:rsidRPr="008F05D0">
        <w:rPr>
          <w:rFonts w:ascii="Times New Roman" w:hAnsi="Times New Roman" w:cs="Times New Roman"/>
          <w:b/>
          <w:bCs/>
        </w:rPr>
        <w:t>The inclusion criteria for each of the included studies in this meta-analysis.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222"/>
        <w:gridCol w:w="9072"/>
      </w:tblGrid>
      <w:tr w:rsidR="008F05D0" w14:paraId="03FF80A4" w14:textId="77777777" w:rsidTr="00B23AEC">
        <w:trPr>
          <w:trHeight w:hRule="exact" w:val="567"/>
        </w:trPr>
        <w:tc>
          <w:tcPr>
            <w:tcW w:w="1222" w:type="dxa"/>
            <w:tcBorders>
              <w:top w:val="single" w:sz="12" w:space="0" w:color="auto"/>
              <w:bottom w:val="single" w:sz="12" w:space="0" w:color="auto"/>
            </w:tcBorders>
          </w:tcPr>
          <w:p w14:paraId="3D1E4FFB" w14:textId="77777777" w:rsidR="008F05D0" w:rsidRPr="00B23AEC" w:rsidRDefault="008F05D0" w:rsidP="00B23A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B23AEC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Study</w:t>
            </w:r>
          </w:p>
        </w:tc>
        <w:tc>
          <w:tcPr>
            <w:tcW w:w="9072" w:type="dxa"/>
            <w:tcBorders>
              <w:top w:val="single" w:sz="12" w:space="0" w:color="auto"/>
              <w:bottom w:val="single" w:sz="12" w:space="0" w:color="auto"/>
            </w:tcBorders>
          </w:tcPr>
          <w:p w14:paraId="4EEF14BE" w14:textId="77777777" w:rsidR="008F05D0" w:rsidRPr="00B23AEC" w:rsidRDefault="008F05D0" w:rsidP="00B23A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B23AEC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Inclusion criteria</w:t>
            </w:r>
          </w:p>
        </w:tc>
      </w:tr>
      <w:tr w:rsidR="008F05D0" w14:paraId="456EB6D6" w14:textId="77777777" w:rsidTr="008F05D0">
        <w:trPr>
          <w:trHeight w:hRule="exact" w:val="397"/>
        </w:trPr>
        <w:tc>
          <w:tcPr>
            <w:tcW w:w="1222" w:type="dxa"/>
            <w:tcBorders>
              <w:top w:val="single" w:sz="12" w:space="0" w:color="auto"/>
            </w:tcBorders>
          </w:tcPr>
          <w:p w14:paraId="7BF6C421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Bagshaw2020</w:t>
            </w:r>
          </w:p>
        </w:tc>
        <w:tc>
          <w:tcPr>
            <w:tcW w:w="9072" w:type="dxa"/>
            <w:tcBorders>
              <w:top w:val="single" w:sz="12" w:space="0" w:color="auto"/>
            </w:tcBorders>
          </w:tcPr>
          <w:p w14:paraId="44CF1ACD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Patients were eligible if they were 18 years or older and had been admitted to an ICU with kidney dysfunction.</w:t>
            </w:r>
          </w:p>
        </w:tc>
      </w:tr>
      <w:tr w:rsidR="008F05D0" w14:paraId="46FD8245" w14:textId="77777777" w:rsidTr="008F05D0">
        <w:tc>
          <w:tcPr>
            <w:tcW w:w="1222" w:type="dxa"/>
          </w:tcPr>
          <w:p w14:paraId="43690DA1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Barbar2018</w:t>
            </w:r>
          </w:p>
        </w:tc>
        <w:tc>
          <w:tcPr>
            <w:tcW w:w="9072" w:type="dxa"/>
          </w:tcPr>
          <w:p w14:paraId="216569F6" w14:textId="77175E5D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Patients were eligible if they were 18 years of age or older, were admitted to the ICU in the early phase of septic</w:t>
            </w:r>
            <w:r w:rsidRPr="004B2F11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shock (within 48 hours after the start of vasopressor therapy), and had acute kidney injury for the failure stage of the RIFLE classification.</w:t>
            </w:r>
          </w:p>
        </w:tc>
      </w:tr>
      <w:tr w:rsidR="008F05D0" w14:paraId="4C9C9C1A" w14:textId="77777777" w:rsidTr="008F05D0">
        <w:trPr>
          <w:trHeight w:hRule="exact" w:val="567"/>
        </w:trPr>
        <w:tc>
          <w:tcPr>
            <w:tcW w:w="1222" w:type="dxa"/>
          </w:tcPr>
          <w:p w14:paraId="067B5CE6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Bouman2002</w:t>
            </w:r>
          </w:p>
        </w:tc>
        <w:tc>
          <w:tcPr>
            <w:tcW w:w="9072" w:type="dxa"/>
          </w:tcPr>
          <w:p w14:paraId="48516B7A" w14:textId="55AA8E73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Ventilated severely ill ICU patients who were oliguric despite massive fluid resuscitation, inotropic support, and</w:t>
            </w:r>
            <w:r w:rsidRPr="004B2F11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high-dose intravenous diuretics.</w:t>
            </w:r>
          </w:p>
        </w:tc>
      </w:tr>
      <w:tr w:rsidR="008F05D0" w14:paraId="5C44EB0E" w14:textId="77777777" w:rsidTr="008F05D0">
        <w:trPr>
          <w:trHeight w:hRule="exact" w:val="567"/>
        </w:trPr>
        <w:tc>
          <w:tcPr>
            <w:tcW w:w="1222" w:type="dxa"/>
          </w:tcPr>
          <w:p w14:paraId="2F1D6E48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Combes2015</w:t>
            </w:r>
          </w:p>
        </w:tc>
        <w:tc>
          <w:tcPr>
            <w:tcW w:w="9072" w:type="dxa"/>
          </w:tcPr>
          <w:p w14:paraId="171C9C05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Patients were eligible if they had undergone cardiac surgery and had persistent postoperative shock within 3–24 h following ICU admission.</w:t>
            </w:r>
          </w:p>
          <w:p w14:paraId="3F9A39D1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unit (ICU) admission.</w:t>
            </w:r>
          </w:p>
        </w:tc>
      </w:tr>
      <w:tr w:rsidR="008F05D0" w14:paraId="53F5BD3F" w14:textId="77777777" w:rsidTr="008F05D0">
        <w:trPr>
          <w:trHeight w:hRule="exact" w:val="567"/>
        </w:trPr>
        <w:tc>
          <w:tcPr>
            <w:tcW w:w="1222" w:type="dxa"/>
          </w:tcPr>
          <w:p w14:paraId="5AFA57D8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Gaudry2016</w:t>
            </w:r>
          </w:p>
        </w:tc>
        <w:tc>
          <w:tcPr>
            <w:tcW w:w="9072" w:type="dxa"/>
          </w:tcPr>
          <w:p w14:paraId="5108D88D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Patients were eligible if they were adults (18 years of age or older) who were admitted to the ICU with acute kidney injury.</w:t>
            </w:r>
          </w:p>
        </w:tc>
      </w:tr>
      <w:tr w:rsidR="008F05D0" w14:paraId="251765C6" w14:textId="77777777" w:rsidTr="008F05D0">
        <w:trPr>
          <w:trHeight w:hRule="exact" w:val="397"/>
        </w:trPr>
        <w:tc>
          <w:tcPr>
            <w:tcW w:w="1222" w:type="dxa"/>
          </w:tcPr>
          <w:p w14:paraId="156A0257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Jamale2013</w:t>
            </w:r>
          </w:p>
        </w:tc>
        <w:tc>
          <w:tcPr>
            <w:tcW w:w="9072" w:type="dxa"/>
          </w:tcPr>
          <w:p w14:paraId="1EE87F07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Participants were eligible for randomization if they had severe AKI with increasing serum urea nitrogen and creatinine levels.</w:t>
            </w:r>
          </w:p>
        </w:tc>
      </w:tr>
      <w:tr w:rsidR="008F05D0" w14:paraId="21C849AC" w14:textId="77777777" w:rsidTr="008F05D0">
        <w:trPr>
          <w:trHeight w:hRule="exact" w:val="397"/>
        </w:trPr>
        <w:tc>
          <w:tcPr>
            <w:tcW w:w="1222" w:type="dxa"/>
          </w:tcPr>
          <w:p w14:paraId="0DA82C82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Lumlertgul2018</w:t>
            </w:r>
          </w:p>
        </w:tc>
        <w:tc>
          <w:tcPr>
            <w:tcW w:w="9072" w:type="dxa"/>
          </w:tcPr>
          <w:p w14:paraId="07C026F6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All adult patients (≥ 18 years old) admitted to the ICU were screened.</w:t>
            </w:r>
          </w:p>
        </w:tc>
      </w:tr>
      <w:tr w:rsidR="008F05D0" w14:paraId="55724B62" w14:textId="77777777" w:rsidTr="008F05D0">
        <w:trPr>
          <w:trHeight w:hRule="exact" w:val="397"/>
        </w:trPr>
        <w:tc>
          <w:tcPr>
            <w:tcW w:w="1222" w:type="dxa"/>
          </w:tcPr>
          <w:p w14:paraId="1BBF070E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Srisawat2018</w:t>
            </w:r>
          </w:p>
        </w:tc>
        <w:tc>
          <w:tcPr>
            <w:tcW w:w="9072" w:type="dxa"/>
          </w:tcPr>
          <w:p w14:paraId="0A7E6713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ICU patients aged of 18 years or older who were diagnosed with AKI by RIFLE criteria.</w:t>
            </w:r>
          </w:p>
          <w:p w14:paraId="2E450637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diagnosed with AKI by RIFLE criteria</w:t>
            </w:r>
          </w:p>
        </w:tc>
      </w:tr>
      <w:tr w:rsidR="008F05D0" w14:paraId="392B4969" w14:textId="77777777" w:rsidTr="008F05D0">
        <w:trPr>
          <w:trHeight w:hRule="exact" w:val="397"/>
        </w:trPr>
        <w:tc>
          <w:tcPr>
            <w:tcW w:w="1222" w:type="dxa"/>
          </w:tcPr>
          <w:p w14:paraId="1CC2E0A5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Wald2015</w:t>
            </w:r>
          </w:p>
        </w:tc>
        <w:tc>
          <w:tcPr>
            <w:tcW w:w="9072" w:type="dxa"/>
          </w:tcPr>
          <w:p w14:paraId="7B30DEF2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Adults (≥18 years of age) admitted to an ICU with evidence of kidney dysfunction.</w:t>
            </w:r>
          </w:p>
          <w:p w14:paraId="1CE5F548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≥130μmol/l for men).</w:t>
            </w:r>
          </w:p>
          <w:p w14:paraId="3CFF9F4D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dysfunction (defined as a serum creatinine ≥100μmol/l for women or</w:t>
            </w:r>
          </w:p>
          <w:p w14:paraId="358F2623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≥130μmol/l for men).</w:t>
            </w:r>
          </w:p>
          <w:p w14:paraId="4FB6EC66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age) admitted to an intensive care unit with evidence of kidney</w:t>
            </w:r>
          </w:p>
          <w:p w14:paraId="3797DD2C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dysfunction (defined as a serum creatinine ≥100μmol/l for women or</w:t>
            </w:r>
          </w:p>
          <w:p w14:paraId="580CABD6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≥130μmol/l for men).</w:t>
            </w:r>
          </w:p>
        </w:tc>
      </w:tr>
      <w:tr w:rsidR="008F05D0" w14:paraId="2B91E82A" w14:textId="77777777" w:rsidTr="008F05D0">
        <w:trPr>
          <w:trHeight w:hRule="exact" w:val="397"/>
        </w:trPr>
        <w:tc>
          <w:tcPr>
            <w:tcW w:w="1222" w:type="dxa"/>
          </w:tcPr>
          <w:p w14:paraId="4CAC113E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Xia2019</w:t>
            </w:r>
          </w:p>
        </w:tc>
        <w:tc>
          <w:tcPr>
            <w:tcW w:w="9072" w:type="dxa"/>
          </w:tcPr>
          <w:p w14:paraId="001E5809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 xml:space="preserve">Patients who were diagnosed with sepsis AKI and with </w:t>
            </w:r>
            <w:proofErr w:type="spellStart"/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uNGAL</w:t>
            </w:r>
            <w:proofErr w:type="spellEnd"/>
            <w:r w:rsidRPr="004B2F11">
              <w:rPr>
                <w:rFonts w:ascii="Times New Roman" w:hAnsi="Times New Roman" w:cs="Times New Roman"/>
                <w:sz w:val="15"/>
                <w:szCs w:val="15"/>
              </w:rPr>
              <w:t xml:space="preserve"> greater than 1310 ng/ml.</w:t>
            </w:r>
          </w:p>
        </w:tc>
      </w:tr>
      <w:tr w:rsidR="008F05D0" w14:paraId="75A87F01" w14:textId="77777777" w:rsidTr="008F05D0">
        <w:tc>
          <w:tcPr>
            <w:tcW w:w="1222" w:type="dxa"/>
            <w:tcBorders>
              <w:bottom w:val="single" w:sz="12" w:space="0" w:color="auto"/>
            </w:tcBorders>
          </w:tcPr>
          <w:p w14:paraId="17846ADA" w14:textId="77777777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Zarbock2016</w:t>
            </w:r>
          </w:p>
        </w:tc>
        <w:tc>
          <w:tcPr>
            <w:tcW w:w="9072" w:type="dxa"/>
            <w:tcBorders>
              <w:bottom w:val="single" w:sz="12" w:space="0" w:color="auto"/>
            </w:tcBorders>
          </w:tcPr>
          <w:p w14:paraId="4E03EDA2" w14:textId="48C84811" w:rsidR="008F05D0" w:rsidRPr="004B2F11" w:rsidRDefault="008F05D0" w:rsidP="00A61328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4B2F11">
              <w:rPr>
                <w:rFonts w:ascii="Times New Roman" w:hAnsi="Times New Roman" w:cs="Times New Roman"/>
                <w:sz w:val="15"/>
                <w:szCs w:val="15"/>
              </w:rPr>
              <w:t>ICU patients with AKI Kidney Disease: Improving Global Outcomes (KDIGO) stage 2 and plasma neutrophil gelatinase–associated lipocalin level higher than 150 ng/mL were enrolled</w:t>
            </w:r>
            <w:r w:rsidR="004B2F11" w:rsidRPr="004B2F11">
              <w:rPr>
                <w:rFonts w:ascii="Times New Roman" w:hAnsi="Times New Roman" w:cs="Times New Roman"/>
                <w:sz w:val="15"/>
                <w:szCs w:val="15"/>
              </w:rPr>
              <w:t>.</w:t>
            </w:r>
          </w:p>
        </w:tc>
      </w:tr>
    </w:tbl>
    <w:p w14:paraId="4E0AACFF" w14:textId="26D96BD0" w:rsidR="001A00D0" w:rsidRDefault="001A00D0"/>
    <w:p w14:paraId="7E09D650" w14:textId="5A6FAD67" w:rsidR="000D29A6" w:rsidRDefault="000D29A6"/>
    <w:p w14:paraId="681BE232" w14:textId="0106A313" w:rsidR="000D29A6" w:rsidRDefault="000D29A6"/>
    <w:sectPr w:rsidR="000D29A6" w:rsidSect="001A00D0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1ADC5" w14:textId="77777777" w:rsidR="00441D15" w:rsidRDefault="00441D15" w:rsidP="001A00D0">
      <w:r>
        <w:separator/>
      </w:r>
    </w:p>
  </w:endnote>
  <w:endnote w:type="continuationSeparator" w:id="0">
    <w:p w14:paraId="6C89FE90" w14:textId="77777777" w:rsidR="00441D15" w:rsidRDefault="00441D15" w:rsidP="001A0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C06DE5" w14:textId="77777777" w:rsidR="00441D15" w:rsidRDefault="00441D15" w:rsidP="001A00D0">
      <w:r>
        <w:separator/>
      </w:r>
    </w:p>
  </w:footnote>
  <w:footnote w:type="continuationSeparator" w:id="0">
    <w:p w14:paraId="69CAA570" w14:textId="77777777" w:rsidR="00441D15" w:rsidRDefault="00441D15" w:rsidP="001A00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574"/>
    <w:rsid w:val="00011625"/>
    <w:rsid w:val="00041282"/>
    <w:rsid w:val="0004166B"/>
    <w:rsid w:val="000D29A6"/>
    <w:rsid w:val="001A00D0"/>
    <w:rsid w:val="00245F96"/>
    <w:rsid w:val="00441D15"/>
    <w:rsid w:val="00464FDE"/>
    <w:rsid w:val="004B2F11"/>
    <w:rsid w:val="005A2574"/>
    <w:rsid w:val="008F05D0"/>
    <w:rsid w:val="00977347"/>
    <w:rsid w:val="00A24D28"/>
    <w:rsid w:val="00A6796F"/>
    <w:rsid w:val="00B23AEC"/>
    <w:rsid w:val="00BC49C5"/>
    <w:rsid w:val="00D521E1"/>
    <w:rsid w:val="00E14110"/>
    <w:rsid w:val="00E6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2749EF"/>
  <w15:chartTrackingRefBased/>
  <w15:docId w15:val="{01AFFA66-32CF-45D2-A0F0-2B740D22C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样式2"/>
    <w:basedOn w:val="a1"/>
    <w:uiPriority w:val="99"/>
    <w:rsid w:val="00245F96"/>
    <w:tblPr/>
  </w:style>
  <w:style w:type="paragraph" w:styleId="a3">
    <w:name w:val="header"/>
    <w:basedOn w:val="a"/>
    <w:link w:val="a4"/>
    <w:uiPriority w:val="99"/>
    <w:unhideWhenUsed/>
    <w:rsid w:val="001A00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A00D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A00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A00D0"/>
    <w:rPr>
      <w:sz w:val="18"/>
      <w:szCs w:val="18"/>
    </w:rPr>
  </w:style>
  <w:style w:type="table" w:styleId="a7">
    <w:name w:val="Table Grid"/>
    <w:basedOn w:val="a1"/>
    <w:uiPriority w:val="59"/>
    <w:rsid w:val="001A00D0"/>
    <w:rPr>
      <w:rFonts w:ascii="Times New Roman" w:eastAsia="Times New Roman" w:hAnsi="Times New Roman" w:cs="Times New Roman"/>
      <w:kern w:val="0"/>
      <w:sz w:val="20"/>
      <w:szCs w:val="20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0D29A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F05D0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8F05D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263</ap:TotalTime>
  <ap:Pages>1</ap:Pages>
  <ap:Words>294</ap:Words>
  <ap:Characters>1678</ap:Characters>
  <ap:Application>Microsoft Office Word</ap:Application>
  <ap:DocSecurity>0</ap:DocSecurity>
  <ap:Lines>13</ap:Lines>
  <ap:Paragraphs>3</ap:Paragraphs>
  <ap:ScaleCrop>false</ap:ScaleCrop>
  <ap:Company/>
  <ap:LinksUpToDate>false</ap:LinksUpToDate>
  <ap:CharactersWithSpaces>1969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晓明 李</dc:creator>
  <cp:keywords/>
  <dc:description/>
  <cp:lastModifiedBy>晓明 李</cp:lastModifiedBy>
  <cp:revision>9</cp:revision>
  <dcterms:created xsi:type="dcterms:W3CDTF">2020-07-20T07:55:00Z</dcterms:created>
  <dcterms:modified xsi:type="dcterms:W3CDTF">2020-11-11T16:06:00Z</dcterms:modified>
</cp:coreProperties>
</file>