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09B1B9" w14:textId="784CF2EE" w:rsidR="003203BF" w:rsidRPr="00CA457D" w:rsidRDefault="003203BF" w:rsidP="003203BF">
      <w:pPr>
        <w:rPr>
          <w:rFonts w:ascii="Times New Roman" w:hAnsi="Times New Roman" w:cs="Times New Roman"/>
          <w:b/>
          <w:bCs/>
          <w:color w:val="000000" w:themeColor="text1"/>
          <w:lang w:val="en-US"/>
        </w:rPr>
      </w:pPr>
      <w:r w:rsidRPr="00CA457D">
        <w:rPr>
          <w:rFonts w:ascii="Times New Roman" w:hAnsi="Times New Roman" w:cs="Times New Roman"/>
          <w:b/>
          <w:bCs/>
          <w:color w:val="000000" w:themeColor="text1"/>
          <w:lang w:val="en-US"/>
        </w:rPr>
        <w:t xml:space="preserve">Online additional data </w:t>
      </w:r>
    </w:p>
    <w:p w14:paraId="7478AC19" w14:textId="77777777" w:rsidR="00CA457D" w:rsidRPr="00CA457D" w:rsidRDefault="003203BF" w:rsidP="00CA457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CA457D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 xml:space="preserve">Bedside POCUS during ward emergencies is associated with improved diagnosis and outcome: </w:t>
      </w:r>
      <w:r w:rsidRPr="00CA457D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An observational prospective controlled study.</w:t>
      </w:r>
    </w:p>
    <w:p w14:paraId="484B9981" w14:textId="2F4490ED" w:rsidR="003203BF" w:rsidRPr="00CA457D" w:rsidRDefault="003203BF" w:rsidP="00CA457D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</w:pPr>
      <w:r w:rsidRPr="00CA457D">
        <w:rPr>
          <w:rFonts w:ascii="Times New Roman" w:hAnsi="Times New Roman" w:cs="Times New Roman"/>
          <w:bCs/>
          <w:color w:val="000000" w:themeColor="text1"/>
          <w:lang w:val="en-US"/>
        </w:rPr>
        <w:t>Laurent Zieleskiewicz, MD, PhD</w:t>
      </w:r>
      <w:r w:rsidRPr="00CA457D">
        <w:rPr>
          <w:rFonts w:ascii="Times New Roman" w:hAnsi="Times New Roman" w:cs="Times New Roman"/>
          <w:bCs/>
          <w:color w:val="000000" w:themeColor="text1"/>
          <w:vertAlign w:val="superscript"/>
          <w:lang w:val="en-US"/>
        </w:rPr>
        <w:t xml:space="preserve">1,6 </w:t>
      </w:r>
      <w:r w:rsidRPr="00CA457D">
        <w:rPr>
          <w:rFonts w:ascii="Times New Roman" w:hAnsi="Times New Roman" w:cs="Times New Roman"/>
          <w:bCs/>
          <w:color w:val="000000" w:themeColor="text1"/>
          <w:lang w:val="en-US"/>
        </w:rPr>
        <w:t>(0000-0002-0788-4967),  Alexandre Lopez, MD</w:t>
      </w:r>
      <w:r w:rsidRPr="00CA457D">
        <w:rPr>
          <w:rFonts w:ascii="Times New Roman" w:hAnsi="Times New Roman" w:cs="Times New Roman"/>
          <w:bCs/>
          <w:color w:val="000000" w:themeColor="text1"/>
          <w:vertAlign w:val="superscript"/>
          <w:lang w:val="en-US"/>
        </w:rPr>
        <w:t>1</w:t>
      </w:r>
      <w:r w:rsidRPr="00CA457D">
        <w:rPr>
          <w:rFonts w:ascii="Times New Roman" w:hAnsi="Times New Roman" w:cs="Times New Roman"/>
          <w:bCs/>
          <w:color w:val="000000" w:themeColor="text1"/>
          <w:lang w:val="en-US"/>
        </w:rPr>
        <w:t>, Sami Hraiech, MD, PhD</w:t>
      </w:r>
      <w:r w:rsidRPr="00CA457D">
        <w:rPr>
          <w:rFonts w:ascii="Times New Roman" w:hAnsi="Times New Roman" w:cs="Times New Roman"/>
          <w:bCs/>
          <w:color w:val="000000" w:themeColor="text1"/>
          <w:vertAlign w:val="superscript"/>
          <w:lang w:val="en-US"/>
        </w:rPr>
        <w:t>2</w:t>
      </w:r>
      <w:r w:rsidRPr="00CA457D">
        <w:rPr>
          <w:rFonts w:ascii="Times New Roman" w:hAnsi="Times New Roman" w:cs="Times New Roman"/>
          <w:bCs/>
          <w:color w:val="000000" w:themeColor="text1"/>
          <w:lang w:val="en-US"/>
        </w:rPr>
        <w:t>, Karine Baumstarck, MD, PhD</w:t>
      </w:r>
      <w:r w:rsidRPr="00CA457D">
        <w:rPr>
          <w:rFonts w:ascii="Times New Roman" w:hAnsi="Times New Roman" w:cs="Times New Roman"/>
          <w:bCs/>
          <w:color w:val="000000" w:themeColor="text1"/>
          <w:vertAlign w:val="superscript"/>
          <w:lang w:val="en-US"/>
        </w:rPr>
        <w:t>3</w:t>
      </w:r>
      <w:r w:rsidRPr="00CA457D">
        <w:rPr>
          <w:rFonts w:ascii="Times New Roman" w:hAnsi="Times New Roman" w:cs="Times New Roman"/>
          <w:bCs/>
          <w:color w:val="000000" w:themeColor="text1"/>
          <w:lang w:val="en-US"/>
        </w:rPr>
        <w:t>,  Bruno Pastene, MD</w:t>
      </w:r>
      <w:r w:rsidRPr="00CA457D">
        <w:rPr>
          <w:rFonts w:ascii="Times New Roman" w:hAnsi="Times New Roman" w:cs="Times New Roman"/>
          <w:bCs/>
          <w:color w:val="000000" w:themeColor="text1"/>
          <w:vertAlign w:val="superscript"/>
          <w:lang w:val="en-US"/>
        </w:rPr>
        <w:t>1</w:t>
      </w:r>
      <w:r w:rsidRPr="00CA457D">
        <w:rPr>
          <w:rFonts w:ascii="Times New Roman" w:hAnsi="Times New Roman" w:cs="Times New Roman"/>
          <w:bCs/>
          <w:color w:val="000000" w:themeColor="text1"/>
          <w:lang w:val="en-US"/>
        </w:rPr>
        <w:t xml:space="preserve">, </w:t>
      </w:r>
      <w:r w:rsidRPr="00CA457D">
        <w:rPr>
          <w:rFonts w:ascii="Times New Roman" w:hAnsi="Times New Roman" w:cs="Times New Roman"/>
          <w:color w:val="000000" w:themeColor="text1"/>
          <w:lang w:val="en-US"/>
        </w:rPr>
        <w:t>Mathieu Di Bisceglie, MD</w:t>
      </w:r>
      <w:r w:rsidRPr="00CA457D">
        <w:rPr>
          <w:rFonts w:ascii="Times New Roman" w:hAnsi="Times New Roman" w:cs="Times New Roman"/>
          <w:bCs/>
          <w:color w:val="000000" w:themeColor="text1"/>
          <w:vertAlign w:val="superscript"/>
          <w:lang w:val="en-US"/>
        </w:rPr>
        <w:t>4</w:t>
      </w:r>
      <w:r w:rsidRPr="00CA457D">
        <w:rPr>
          <w:rFonts w:ascii="Times New Roman" w:hAnsi="Times New Roman" w:cs="Times New Roman"/>
          <w:bCs/>
          <w:color w:val="000000" w:themeColor="text1"/>
          <w:lang w:val="en-US"/>
        </w:rPr>
        <w:t>, Benjamin Coiffard, MD</w:t>
      </w:r>
      <w:r w:rsidRPr="00CA457D">
        <w:rPr>
          <w:rFonts w:ascii="Times New Roman" w:hAnsi="Times New Roman" w:cs="Times New Roman"/>
          <w:bCs/>
          <w:color w:val="000000" w:themeColor="text1"/>
          <w:vertAlign w:val="superscript"/>
          <w:lang w:val="en-US"/>
        </w:rPr>
        <w:t>2</w:t>
      </w:r>
      <w:r w:rsidRPr="00CA457D">
        <w:rPr>
          <w:rFonts w:ascii="Times New Roman" w:hAnsi="Times New Roman" w:cs="Times New Roman"/>
          <w:bCs/>
          <w:color w:val="000000" w:themeColor="text1"/>
          <w:lang w:val="en-US"/>
        </w:rPr>
        <w:t>, Gary Duclos, MD</w:t>
      </w:r>
      <w:r w:rsidRPr="00CA457D">
        <w:rPr>
          <w:rFonts w:ascii="Times New Roman" w:hAnsi="Times New Roman" w:cs="Times New Roman"/>
          <w:bCs/>
          <w:color w:val="000000" w:themeColor="text1"/>
          <w:vertAlign w:val="superscript"/>
          <w:lang w:val="en-US"/>
        </w:rPr>
        <w:t>1</w:t>
      </w:r>
      <w:r w:rsidRPr="00CA457D">
        <w:rPr>
          <w:rFonts w:ascii="Times New Roman" w:hAnsi="Times New Roman" w:cs="Times New Roman"/>
          <w:bCs/>
          <w:color w:val="000000" w:themeColor="text1"/>
          <w:lang w:val="en-US"/>
        </w:rPr>
        <w:t>, Alain Boussuges, MD, PhD</w:t>
      </w:r>
      <w:r w:rsidRPr="00CA457D">
        <w:rPr>
          <w:rFonts w:ascii="Times New Roman" w:hAnsi="Times New Roman" w:cs="Times New Roman"/>
          <w:bCs/>
          <w:color w:val="000000" w:themeColor="text1"/>
          <w:vertAlign w:val="superscript"/>
          <w:lang w:val="en-US"/>
        </w:rPr>
        <w:t>5,6</w:t>
      </w:r>
      <w:r w:rsidRPr="00CA457D">
        <w:rPr>
          <w:rFonts w:ascii="Times New Roman" w:hAnsi="Times New Roman" w:cs="Times New Roman"/>
          <w:bCs/>
          <w:color w:val="000000" w:themeColor="text1"/>
          <w:lang w:val="en-US"/>
        </w:rPr>
        <w:t>, Xavier Bobbia, MD, PhD</w:t>
      </w:r>
      <w:r w:rsidRPr="00CA457D">
        <w:rPr>
          <w:rFonts w:ascii="Times New Roman" w:hAnsi="Times New Roman" w:cs="Times New Roman"/>
          <w:bCs/>
          <w:color w:val="000000" w:themeColor="text1"/>
          <w:vertAlign w:val="superscript"/>
          <w:lang w:val="en-US"/>
        </w:rPr>
        <w:t>7</w:t>
      </w:r>
      <w:r w:rsidRPr="00CA457D">
        <w:rPr>
          <w:rFonts w:ascii="Times New Roman" w:hAnsi="Times New Roman" w:cs="Times New Roman"/>
          <w:bCs/>
          <w:color w:val="000000" w:themeColor="text1"/>
          <w:lang w:val="en-US"/>
        </w:rPr>
        <w:t>, Sharon Einav, MD</w:t>
      </w:r>
      <w:r w:rsidRPr="00CA457D">
        <w:rPr>
          <w:rFonts w:ascii="Times New Roman" w:hAnsi="Times New Roman" w:cs="Times New Roman"/>
          <w:bCs/>
          <w:color w:val="000000" w:themeColor="text1"/>
          <w:vertAlign w:val="superscript"/>
          <w:lang w:val="en-US"/>
        </w:rPr>
        <w:t>8</w:t>
      </w:r>
      <w:r w:rsidRPr="00CA457D">
        <w:rPr>
          <w:rFonts w:ascii="Times New Roman" w:hAnsi="Times New Roman" w:cs="Times New Roman"/>
          <w:bCs/>
          <w:color w:val="000000" w:themeColor="text1"/>
          <w:lang w:val="en-US"/>
        </w:rPr>
        <w:t>, Laurent Papazian, MD, PhD</w:t>
      </w:r>
      <w:r w:rsidRPr="00CA457D">
        <w:rPr>
          <w:rFonts w:ascii="Times New Roman" w:hAnsi="Times New Roman" w:cs="Times New Roman"/>
          <w:bCs/>
          <w:color w:val="000000" w:themeColor="text1"/>
          <w:vertAlign w:val="superscript"/>
          <w:lang w:val="en-US"/>
        </w:rPr>
        <w:t>2</w:t>
      </w:r>
      <w:r w:rsidRPr="00CA457D">
        <w:rPr>
          <w:rFonts w:ascii="Times New Roman" w:hAnsi="Times New Roman" w:cs="Times New Roman"/>
          <w:bCs/>
          <w:color w:val="000000" w:themeColor="text1"/>
          <w:lang w:val="en-US"/>
        </w:rPr>
        <w:t>, Marc Leone, MD, PhD</w:t>
      </w:r>
      <w:r w:rsidRPr="00CA457D">
        <w:rPr>
          <w:rFonts w:ascii="Times New Roman" w:hAnsi="Times New Roman" w:cs="Times New Roman"/>
          <w:bCs/>
          <w:color w:val="000000" w:themeColor="text1"/>
          <w:vertAlign w:val="superscript"/>
          <w:lang w:val="en-US"/>
        </w:rPr>
        <w:t>1</w:t>
      </w:r>
    </w:p>
    <w:p w14:paraId="6FD98362" w14:textId="590C10FD" w:rsidR="003203BF" w:rsidRPr="004F01E7" w:rsidRDefault="003203BF" w:rsidP="004F01E7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CA457D">
        <w:rPr>
          <w:rFonts w:ascii="Times New Roman" w:hAnsi="Times New Roman" w:cs="Times New Roman"/>
          <w:bCs/>
          <w:color w:val="000000" w:themeColor="text1"/>
          <w:sz w:val="20"/>
          <w:szCs w:val="20"/>
          <w:vertAlign w:val="superscript"/>
        </w:rPr>
        <w:t>1</w:t>
      </w:r>
      <w:r w:rsidRPr="00CA457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Aix Marseille University,  Assistance Publique Hôpitaux de Marseille, Department of Anaesthesiology and Intensive Care, Hôpital Nord, Marseille, 13015, France. </w:t>
      </w:r>
      <w:r w:rsidRPr="00CA457D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 xml:space="preserve">2 </w:t>
      </w:r>
      <w:r w:rsidRPr="00CA457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Aix Marseille University,  Assistance Publique Hôpitaux de Marseille, Service de Médecine Intensive </w:t>
      </w:r>
      <w:r w:rsidRPr="00CA457D">
        <w:rPr>
          <w:rFonts w:ascii="Times New Roman" w:hAnsi="Times New Roman" w:cs="Times New Roman"/>
          <w:color w:val="000000" w:themeColor="text1"/>
          <w:sz w:val="20"/>
          <w:szCs w:val="20"/>
        </w:rPr>
        <w:noBreakHyphen/>
        <w:t xml:space="preserve"> Réanimation, Hôpital Nord, Marseille, 13015, France. </w:t>
      </w:r>
      <w:r w:rsidRPr="00CA457D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3</w:t>
      </w:r>
      <w:r w:rsidRPr="00CA457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Centre d'Etudes et de Recherches sur les Services de Santé et Qualité, Faculté de Médecine, Aix-Marseille Université, Marseille, 13005, France. </w:t>
      </w:r>
      <w:r w:rsidRPr="00CA457D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>4</w:t>
      </w:r>
      <w:r w:rsidRPr="00CA457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Aix Marseille University,  Assistance Publique Hôpitaux de Marseille, Service d'Imagerie Médicale, Hôpital Nord, Marseille, 13015, France. </w:t>
      </w:r>
      <w:r w:rsidRPr="00CA457D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</w:rPr>
        <w:t xml:space="preserve">5 </w:t>
      </w:r>
      <w:r w:rsidRPr="00CA457D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Aix Marseille University,  Assistance Publique Hôpitaux de Marseille, Service des Explorations Fonctionnelles Respiratoires, Marseille, 13015,  France. </w:t>
      </w:r>
      <w:r w:rsidRPr="00CA457D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  <w:t>6</w:t>
      </w:r>
      <w:r w:rsidRPr="00CA457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Center for Cardiovascular and Nutrition Research (C2VN) Aix Marseille Université, INSERM, INRA, Marseille, 13005, France. </w:t>
      </w:r>
      <w:r w:rsidRPr="00CA457D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  <w:t xml:space="preserve">7 </w:t>
      </w:r>
      <w:r w:rsidRPr="00CA457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Department of Anaesthesiology, Emergency and Critical Care Medicine, Intensive Care Unit, Nîmes, 30000, University Hospital Nîmes France. </w:t>
      </w:r>
      <w:r w:rsidRPr="00CA457D">
        <w:rPr>
          <w:rFonts w:ascii="Times New Roman" w:hAnsi="Times New Roman" w:cs="Times New Roman"/>
          <w:color w:val="000000" w:themeColor="text1"/>
          <w:sz w:val="20"/>
          <w:szCs w:val="20"/>
          <w:vertAlign w:val="superscript"/>
          <w:lang w:val="en-US"/>
        </w:rPr>
        <w:t>8</w:t>
      </w:r>
      <w:r w:rsidRPr="00CA457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 xml:space="preserve"> Surgical Intensive Care Unit, Shaare Zedek Medical Center and Hebrew University Faculty of Medicine, Jerusalem, Israel.</w:t>
      </w:r>
    </w:p>
    <w:p w14:paraId="07EC5B0F" w14:textId="6B880FD7" w:rsidR="003203BF" w:rsidRPr="00CA457D" w:rsidRDefault="003203BF" w:rsidP="003203BF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</w:pPr>
      <w:r w:rsidRPr="00CA457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shd w:val="clear" w:color="auto" w:fill="FFFFFF"/>
          <w:lang w:val="en-US"/>
        </w:rPr>
        <w:t xml:space="preserve">Additional Table </w:t>
      </w:r>
      <w:r w:rsidR="00317F6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shd w:val="clear" w:color="auto" w:fill="FFFFFF"/>
          <w:lang w:val="en-US"/>
        </w:rPr>
        <w:t>6</w:t>
      </w:r>
      <w:r w:rsidRPr="00CA457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en-US"/>
        </w:rPr>
        <w:t>:</w:t>
      </w:r>
      <w:r w:rsidRPr="00CA457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US"/>
        </w:rPr>
        <w:t xml:space="preserve"> POCUS effect group on in-hospital mortality (logistic regressions, sensitivity analyses) </w:t>
      </w:r>
    </w:p>
    <w:tbl>
      <w:tblPr>
        <w:tblW w:w="9736" w:type="dxa"/>
        <w:tblInd w:w="1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3"/>
        <w:gridCol w:w="6712"/>
        <w:gridCol w:w="1701"/>
        <w:gridCol w:w="850"/>
      </w:tblGrid>
      <w:tr w:rsidR="00BB6001" w:rsidRPr="00BB6001" w14:paraId="267F9D16" w14:textId="77777777" w:rsidTr="00030800">
        <w:trPr>
          <w:trHeight w:val="330"/>
        </w:trPr>
        <w:tc>
          <w:tcPr>
            <w:tcW w:w="71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31BB1B5" w14:textId="77777777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r w:rsidRPr="00BB6001">
              <w:rPr>
                <w:rFonts w:ascii="Times New Roman" w:hAnsi="Times New Roman" w:cs="Times New Roman"/>
                <w:color w:val="000000" w:themeColor="text1"/>
              </w:rPr>
              <w:t>Adjustment</w:t>
            </w:r>
            <w:proofErr w:type="spellEnd"/>
            <w:r w:rsidRPr="00BB6001">
              <w:rPr>
                <w:rFonts w:ascii="Times New Roman" w:hAnsi="Times New Roman" w:cs="Times New Roman"/>
                <w:color w:val="000000" w:themeColor="text1"/>
              </w:rPr>
              <w:t xml:space="preserve"> for: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7D2E04" w14:textId="77777777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BB6001">
              <w:rPr>
                <w:rFonts w:ascii="Times New Roman" w:hAnsi="Times New Roman" w:cs="Times New Roman"/>
                <w:color w:val="000000" w:themeColor="text1"/>
              </w:rPr>
              <w:t>OR [95% CI]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55B3150" w14:textId="77777777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BB6001">
              <w:rPr>
                <w:rFonts w:ascii="Times New Roman" w:hAnsi="Times New Roman" w:cs="Times New Roman"/>
                <w:color w:val="000000" w:themeColor="text1"/>
              </w:rPr>
              <w:t>p</w:t>
            </w:r>
            <w:proofErr w:type="gramEnd"/>
            <w:r w:rsidRPr="00BB6001">
              <w:rPr>
                <w:rFonts w:ascii="Times New Roman" w:hAnsi="Times New Roman" w:cs="Times New Roman"/>
                <w:color w:val="000000" w:themeColor="text1"/>
              </w:rPr>
              <w:t>-value</w:t>
            </w:r>
          </w:p>
        </w:tc>
      </w:tr>
      <w:tr w:rsidR="00BB6001" w:rsidRPr="00BB6001" w14:paraId="0F8C8D61" w14:textId="77777777" w:rsidTr="00030800">
        <w:trPr>
          <w:trHeight w:val="330"/>
        </w:trPr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8BA125D" w14:textId="77777777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BB6001">
              <w:rPr>
                <w:rFonts w:ascii="Times New Roman" w:hAnsi="Times New Roman" w:cs="Times New Roman"/>
                <w:color w:val="000000" w:themeColor="text1"/>
              </w:rPr>
              <w:t>1</w:t>
            </w:r>
          </w:p>
        </w:tc>
        <w:tc>
          <w:tcPr>
            <w:tcW w:w="6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5F2431" w14:textId="77777777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proofErr w:type="gramStart"/>
            <w:r w:rsidRPr="00BB6001">
              <w:rPr>
                <w:rFonts w:ascii="Times New Roman" w:hAnsi="Times New Roman" w:cs="Times New Roman"/>
                <w:color w:val="000000" w:themeColor="text1"/>
              </w:rPr>
              <w:t>age</w:t>
            </w:r>
            <w:proofErr w:type="spellEnd"/>
            <w:proofErr w:type="gramEnd"/>
            <w:r w:rsidRPr="00BB600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BB6001">
              <w:rPr>
                <w:rFonts w:ascii="Times New Roman" w:hAnsi="Times New Roman" w:cs="Times New Roman"/>
                <w:color w:val="000000" w:themeColor="text1"/>
              </w:rPr>
              <w:t>sex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FC64AA" w14:textId="77777777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BB6001">
              <w:rPr>
                <w:rFonts w:ascii="Times New Roman" w:hAnsi="Times New Roman" w:cs="Times New Roman"/>
                <w:color w:val="000000" w:themeColor="text1"/>
              </w:rPr>
              <w:t>0.36 [0.17-0.76]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6AE80B6" w14:textId="77777777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BB6001">
              <w:rPr>
                <w:rFonts w:ascii="Times New Roman" w:hAnsi="Times New Roman" w:cs="Times New Roman"/>
                <w:color w:val="000000" w:themeColor="text1"/>
              </w:rPr>
              <w:t>0.007</w:t>
            </w:r>
          </w:p>
        </w:tc>
      </w:tr>
      <w:tr w:rsidR="00BB6001" w:rsidRPr="00BB6001" w14:paraId="52792606" w14:textId="77777777" w:rsidTr="00030800">
        <w:trPr>
          <w:trHeight w:val="330"/>
        </w:trPr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E186BC0" w14:textId="77777777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BB6001">
              <w:rPr>
                <w:rFonts w:ascii="Times New Roman" w:hAnsi="Times New Roman" w:cs="Times New Roman"/>
                <w:color w:val="000000" w:themeColor="text1"/>
              </w:rPr>
              <w:t>2</w:t>
            </w:r>
          </w:p>
        </w:tc>
        <w:tc>
          <w:tcPr>
            <w:tcW w:w="6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EA705B" w14:textId="77777777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proofErr w:type="spellStart"/>
            <w:proofErr w:type="gramStart"/>
            <w:r w:rsidRPr="00BB6001">
              <w:rPr>
                <w:rFonts w:ascii="Times New Roman" w:hAnsi="Times New Roman" w:cs="Times New Roman"/>
                <w:color w:val="000000" w:themeColor="text1"/>
              </w:rPr>
              <w:t>age</w:t>
            </w:r>
            <w:proofErr w:type="spellEnd"/>
            <w:proofErr w:type="gramEnd"/>
            <w:r w:rsidRPr="00BB600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BB6001">
              <w:rPr>
                <w:rFonts w:ascii="Times New Roman" w:hAnsi="Times New Roman" w:cs="Times New Roman"/>
                <w:color w:val="000000" w:themeColor="text1"/>
              </w:rPr>
              <w:t>sex</w:t>
            </w:r>
            <w:proofErr w:type="spellEnd"/>
            <w:r w:rsidRPr="00BB6001">
              <w:rPr>
                <w:rFonts w:ascii="Times New Roman" w:hAnsi="Times New Roman" w:cs="Times New Roman"/>
                <w:color w:val="000000" w:themeColor="text1"/>
              </w:rPr>
              <w:t xml:space="preserve">, </w:t>
            </w:r>
            <w:proofErr w:type="spellStart"/>
            <w:r w:rsidRPr="00BB6001">
              <w:rPr>
                <w:rFonts w:ascii="Times New Roman" w:hAnsi="Times New Roman" w:cs="Times New Roman"/>
                <w:color w:val="000000" w:themeColor="text1"/>
              </w:rPr>
              <w:t>serum</w:t>
            </w:r>
            <w:proofErr w:type="spellEnd"/>
            <w:r w:rsidRPr="00BB6001">
              <w:rPr>
                <w:rFonts w:ascii="Times New Roman" w:hAnsi="Times New Roman" w:cs="Times New Roman"/>
                <w:color w:val="000000" w:themeColor="text1"/>
              </w:rPr>
              <w:t xml:space="preserve"> lactate*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E5111A" w14:textId="77777777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BB6001">
              <w:rPr>
                <w:rFonts w:ascii="Times New Roman" w:hAnsi="Times New Roman" w:cs="Times New Roman"/>
                <w:color w:val="000000" w:themeColor="text1"/>
              </w:rPr>
              <w:t>0.32 [0.14-0.72]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6BCDD534" w14:textId="77777777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BB6001">
              <w:rPr>
                <w:rFonts w:ascii="Times New Roman" w:hAnsi="Times New Roman" w:cs="Times New Roman"/>
                <w:color w:val="000000" w:themeColor="text1"/>
              </w:rPr>
              <w:t>0.006</w:t>
            </w:r>
          </w:p>
        </w:tc>
      </w:tr>
      <w:tr w:rsidR="00BB6001" w:rsidRPr="00BB6001" w14:paraId="6921EA8A" w14:textId="77777777" w:rsidTr="00030800">
        <w:trPr>
          <w:trHeight w:val="330"/>
        </w:trPr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CB49105" w14:textId="77777777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BB6001">
              <w:rPr>
                <w:rFonts w:ascii="Times New Roman" w:hAnsi="Times New Roman" w:cs="Times New Roman"/>
                <w:color w:val="000000" w:themeColor="text1"/>
              </w:rPr>
              <w:t>3</w:t>
            </w:r>
          </w:p>
        </w:tc>
        <w:tc>
          <w:tcPr>
            <w:tcW w:w="6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2C2252" w14:textId="77777777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B600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age, sex, serum lactate*, MAP°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2D4B6D" w14:textId="77777777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BB6001">
              <w:rPr>
                <w:rFonts w:ascii="Times New Roman" w:hAnsi="Times New Roman" w:cs="Times New Roman"/>
                <w:color w:val="000000" w:themeColor="text1"/>
              </w:rPr>
              <w:t>0.35 [0.16-0.79]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2B371CE" w14:textId="77777777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BB6001">
              <w:rPr>
                <w:rFonts w:ascii="Times New Roman" w:hAnsi="Times New Roman" w:cs="Times New Roman"/>
                <w:color w:val="000000" w:themeColor="text1"/>
              </w:rPr>
              <w:t>0.011</w:t>
            </w:r>
          </w:p>
        </w:tc>
      </w:tr>
      <w:tr w:rsidR="00BB6001" w:rsidRPr="00BB6001" w14:paraId="728A6F80" w14:textId="77777777" w:rsidTr="00030800">
        <w:trPr>
          <w:trHeight w:val="330"/>
        </w:trPr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52F8FF7" w14:textId="77777777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BB6001">
              <w:rPr>
                <w:rFonts w:ascii="Times New Roman" w:hAnsi="Times New Roman" w:cs="Times New Roman"/>
                <w:color w:val="000000" w:themeColor="text1"/>
              </w:rPr>
              <w:t>4</w:t>
            </w:r>
          </w:p>
        </w:tc>
        <w:tc>
          <w:tcPr>
            <w:tcW w:w="6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B2DCC9" w14:textId="77777777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B600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age, sex, serum lactate*, MAP°, oxygen need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CCCDA2" w14:textId="77777777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BB6001">
              <w:rPr>
                <w:rFonts w:ascii="Times New Roman" w:hAnsi="Times New Roman" w:cs="Times New Roman"/>
                <w:color w:val="000000" w:themeColor="text1"/>
              </w:rPr>
              <w:t>0.39 [0.17-0.89]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FF985B0" w14:textId="77777777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BB6001">
              <w:rPr>
                <w:rFonts w:ascii="Times New Roman" w:hAnsi="Times New Roman" w:cs="Times New Roman"/>
                <w:color w:val="000000" w:themeColor="text1"/>
              </w:rPr>
              <w:t>0.025</w:t>
            </w:r>
          </w:p>
        </w:tc>
      </w:tr>
      <w:tr w:rsidR="00BB6001" w:rsidRPr="00BB6001" w14:paraId="14FC11B3" w14:textId="77777777" w:rsidTr="00030800">
        <w:trPr>
          <w:trHeight w:val="330"/>
        </w:trPr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3E4750A" w14:textId="77777777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BB6001">
              <w:rPr>
                <w:rFonts w:ascii="Times New Roman" w:hAnsi="Times New Roman" w:cs="Times New Roman"/>
                <w:color w:val="000000" w:themeColor="text1"/>
              </w:rPr>
              <w:t>5</w:t>
            </w:r>
          </w:p>
        </w:tc>
        <w:tc>
          <w:tcPr>
            <w:tcW w:w="6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6ADE12" w14:textId="42412A99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B6001">
              <w:rPr>
                <w:rFonts w:ascii="Times New Roman" w:hAnsi="Times New Roman" w:cs="Times New Roman"/>
                <w:color w:val="000000" w:themeColor="text1"/>
                <w:lang w:val="en-US"/>
              </w:rPr>
              <w:t>age, sex, serum lactate*, MAP°, oxygen need, SAPS II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D61F6C" w14:textId="77777777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BB6001">
              <w:rPr>
                <w:rFonts w:ascii="Times New Roman" w:hAnsi="Times New Roman" w:cs="Times New Roman"/>
                <w:color w:val="000000" w:themeColor="text1"/>
              </w:rPr>
              <w:t>0.41 [0.17-0.95]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58045A1" w14:textId="77777777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BB6001">
              <w:rPr>
                <w:rFonts w:ascii="Times New Roman" w:hAnsi="Times New Roman" w:cs="Times New Roman"/>
                <w:color w:val="000000" w:themeColor="text1"/>
              </w:rPr>
              <w:t>0.038</w:t>
            </w:r>
          </w:p>
        </w:tc>
      </w:tr>
      <w:tr w:rsidR="00BB6001" w:rsidRPr="00BB6001" w14:paraId="741058D1" w14:textId="77777777" w:rsidTr="00030800">
        <w:trPr>
          <w:trHeight w:val="330"/>
        </w:trPr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53FBC32" w14:textId="77777777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BB6001">
              <w:rPr>
                <w:rFonts w:ascii="Times New Roman" w:hAnsi="Times New Roman" w:cs="Times New Roman"/>
                <w:color w:val="000000" w:themeColor="text1"/>
              </w:rPr>
              <w:t>6</w:t>
            </w:r>
          </w:p>
        </w:tc>
        <w:tc>
          <w:tcPr>
            <w:tcW w:w="6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9239E89" w14:textId="77777777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B6001">
              <w:rPr>
                <w:rFonts w:ascii="Times New Roman" w:hAnsi="Times New Roman" w:cs="Times New Roman"/>
                <w:color w:val="000000" w:themeColor="text1"/>
                <w:lang w:val="en-US"/>
              </w:rPr>
              <w:t>age, sex, serum lactate*, MAP°, oxygen need, SAPS II, ICU admission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685B57B" w14:textId="77777777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BB6001">
              <w:rPr>
                <w:rFonts w:ascii="Times New Roman" w:hAnsi="Times New Roman" w:cs="Times New Roman"/>
                <w:color w:val="000000" w:themeColor="text1"/>
              </w:rPr>
              <w:t>0.40 [0.17-0.94]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28FDCA4" w14:textId="77777777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BB6001">
              <w:rPr>
                <w:rFonts w:ascii="Times New Roman" w:hAnsi="Times New Roman" w:cs="Times New Roman"/>
                <w:color w:val="000000" w:themeColor="text1"/>
              </w:rPr>
              <w:t>0.035</w:t>
            </w:r>
          </w:p>
        </w:tc>
      </w:tr>
      <w:tr w:rsidR="00BB6001" w:rsidRPr="004F01E7" w14:paraId="0749DA4C" w14:textId="77777777" w:rsidTr="00030800">
        <w:trPr>
          <w:trHeight w:val="330"/>
        </w:trPr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22C3094" w14:textId="77777777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</w:rPr>
            </w:pPr>
            <w:r w:rsidRPr="00BB6001">
              <w:rPr>
                <w:rFonts w:ascii="Times New Roman" w:hAnsi="Times New Roman" w:cs="Times New Roman"/>
                <w:color w:val="000000" w:themeColor="text1"/>
              </w:rPr>
              <w:t>7</w:t>
            </w:r>
          </w:p>
        </w:tc>
        <w:tc>
          <w:tcPr>
            <w:tcW w:w="6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5071E9" w14:textId="40862535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B6001">
              <w:rPr>
                <w:rFonts w:ascii="Times New Roman" w:hAnsi="Times New Roman" w:cs="Times New Roman"/>
                <w:color w:val="000000" w:themeColor="text1"/>
                <w:lang w:val="en-US"/>
              </w:rPr>
              <w:t>sex, serum lactate*, serum creatinine, SAPS</w:t>
            </w:r>
            <w:r w:rsidR="004F01E7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II</w:t>
            </w:r>
            <w:r w:rsidRPr="00BB6001">
              <w:rPr>
                <w:rFonts w:ascii="Times New Roman" w:hAnsi="Times New Roman" w:cs="Times New Roman"/>
                <w:color w:val="000000" w:themeColor="text1"/>
                <w:lang w:val="en-US"/>
              </w:rPr>
              <w:t>, R</w:t>
            </w:r>
            <w:r w:rsidR="004F01E7">
              <w:rPr>
                <w:rFonts w:ascii="Times New Roman" w:hAnsi="Times New Roman" w:cs="Times New Roman"/>
                <w:color w:val="000000" w:themeColor="text1"/>
                <w:lang w:val="en-US"/>
              </w:rPr>
              <w:t>OX</w:t>
            </w:r>
            <w:r w:rsidRPr="00BB600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index </w:t>
            </w:r>
            <w:r w:rsidRPr="00BB6001">
              <w:rPr>
                <w:rFonts w:ascii="Times New Roman" w:hAnsi="Times New Roman" w:cs="Times New Roman"/>
                <w:color w:val="000000" w:themeColor="text1"/>
                <w:lang w:val="en-US"/>
              </w:rPr>
              <w:fldChar w:fldCharType="begin"/>
            </w:r>
            <w:r w:rsidRPr="00BB6001">
              <w:rPr>
                <w:rFonts w:ascii="Times New Roman" w:hAnsi="Times New Roman" w:cs="Times New Roman"/>
                <w:color w:val="000000" w:themeColor="text1"/>
                <w:lang w:val="en-US"/>
              </w:rPr>
              <w:instrText xml:space="preserve"> ADDIN ZOTERO_ITEM CSL_CITATION {"citationID":"z2vL5KeB","properties":{"formattedCitation":"(1)","plainCitation":"(1)","noteIndex":0},"citationItems":[{"id":1270,"uris":["http://zotero.org/users/3409932/items/4DR4C85U"],"uri":["http://zotero.org/users/3409932/items/4DR4C85U"],"itemData":{"id":1270,"type":"article-journal","abstract":"PURPOSE: The purpose of the study is to describe early predictors and to develop a prediction tool that accurately identifies the need for mechanical ventilation (MV) in pneumonia patients with hypoxemic acute respiratory failure (ARF) treated with high-flow nasal cannula (HFNC).\nMATERIALS AND METHODS: This is a 4-year prospective observational 2-center cohort study including patients with severe pneumonia treated with HFNC. High-flow nasal cannula failure was defined as need for MV. ROX index was defined as the ratio of pulse oximetry/fraction of inspired oxygen to respiratory rate.\nRESULTS: One hundred fifty-seven patients were included, of whom 44 (28.0%) eventually required MV (HFNC failure). After 12 hours of HFNC treatment, the ROX index demonstrated the best prediction accuracy (area under the receiver operating characteristic curve 0.74 [95% confidence interval, 0.64-0.84]; P&lt;.002). The best cutoff point for the ROX index was estimated to be 4.88. In the Cox proportional hazards model, a ROX index greater than or equal to 4.88 measured after 12 hours of HFNC was significantly associated with a lower risk for MV (hazard ratio, 0.273 [95% confidence interval, 0.121-0.618]; P=.002), even after adjusting for potential confounding.\nCONCLUSIONS: In patients with ARF and pneumonia, the ROX index can identify patients at low risk for HFNC failure in whom therapy can be continued after 12 hours.","container-title":"Journal of Critical Care","DOI":"10.1016/j.jcrc.2016.05.022","ISSN":"1557-8615","journalAbbreviation":"J Crit Care","language":"eng","note":"PMID: 27481760","page":"200-205","source":"PubMed","title":"Predicting success of high-flow nasal cannula in pneumonia patients with hypoxemic respiratory failure: The utility of the ROX index","title-short":"Predicting success of high-flow nasal cannula in pneumonia patients with hypoxemic respiratory failure","volume":"35","author":[{"family":"Roca","given":"Oriol"},{"family":"Messika","given":"Jonathan"},{"family":"Caralt","given":"Berta"},{"family":"García-de-Acilu","given":"Marina"},{"family":"Sztrymf","given":"Benjamin"},{"family":"Ricard","given":"Jean-Damien"},{"family":"Masclans","given":"Joan R."}],"issued":{"date-parts":[["2016",10]]}}}],"schema":"https://github.com/citation-style-language/schema/raw/master/csl-citation.json"} </w:instrText>
            </w:r>
            <w:r w:rsidRPr="00BB6001">
              <w:rPr>
                <w:rFonts w:ascii="Times New Roman" w:hAnsi="Times New Roman" w:cs="Times New Roman"/>
                <w:color w:val="000000" w:themeColor="text1"/>
                <w:lang w:val="en-US"/>
              </w:rPr>
              <w:fldChar w:fldCharType="separate"/>
            </w:r>
            <w:r w:rsidRPr="00BB6001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w:t>(1)</w:t>
            </w:r>
            <w:r w:rsidRPr="00BB6001">
              <w:rPr>
                <w:rFonts w:ascii="Times New Roman" w:hAnsi="Times New Roman" w:cs="Times New Roman"/>
                <w:color w:val="000000" w:themeColor="text1"/>
                <w:lang w:val="en-US"/>
              </w:rPr>
              <w:fldChar w:fldCharType="end"/>
            </w:r>
            <w:r w:rsidRPr="00BB6001">
              <w:rPr>
                <w:rFonts w:ascii="Times New Roman" w:hAnsi="Times New Roman" w:cs="Times New Roman"/>
                <w:color w:val="000000" w:themeColor="text1"/>
                <w:lang w:val="en-US"/>
              </w:rPr>
              <w:fldChar w:fldCharType="begin"/>
            </w:r>
            <w:r w:rsidRPr="00BB6001">
              <w:rPr>
                <w:rFonts w:ascii="Times New Roman" w:hAnsi="Times New Roman" w:cs="Times New Roman"/>
                <w:color w:val="000000" w:themeColor="text1"/>
                <w:lang w:val="en-US"/>
              </w:rPr>
              <w:instrText xml:space="preserve"> ADDIN ZOTERO_ITEM CSL_CITATION {"citationID":"lWVoGOBy","properties":{"formattedCitation":"(2)","plainCitation":"(2)","noteIndex":0},"citationItems":[{"id":1114,"uris":["http://zotero.org/users/3409932/items/EQRZB9TZ"],"uri":["http://zotero.org/users/3409932/items/EQRZB9TZ"],"itemData":{"id":1114,"type":"article-journal","abstract":"BACKGROUND: Whether noninvasive ventilation should be administered in patients with acute hypoxemic respiratory failure is debated. Therapy with high-flow oxygen through a nasal cannula may offer an alternative in patients with hypoxemia.\nMETHODS: We performed a multicenter, open-label trial in which we randomly assigned patients without hypercapnia who had acute hypoxemic respiratory failure and a ratio of the partial pressure of arterial oxygen to the fraction of inspired oxygen of 300 mm Hg or less to high-flow oxygen therapy, standard oxygen therapy delivered through a face mask, or noninvasive positive-pressure ventilation. The primary outcome was the proportion of patients intubated at day 28; secondary outcomes included all-cause mortality in the intensive care unit and at 90 days and the number of ventilator-free days at day 28.\nRESULTS: A total of 310 patients were included in the analyses. The intubation rate (primary outcome) was 38% (40 of 106 patients) in the high-flow-oxygen group, 47% (44 of 94) in the standard group, and 50% (55 of 110) in the noninvasive-ventilation group (P=0.18 for all comparisons). The number of ventilator-free days at day 28 was significantly higher in the high-flow-oxygen group (24±8 days, vs. 22±10 in the standard-oxygen group and 19±12 in the noninvasive-ventilation group; P=0.02 for all comparisons). The hazard ratio for death at 90 days was 2.01 (95% confidence interval [CI], 1.01 to 3.99) with standard oxygen versus high-flow oxygen (P=0.046) and 2.50 (95% CI, 1.31 to 4.78) with noninvasive ventilation versus high-flow oxygen (P=0.006).\nCONCLUSIONS: In patients with nonhypercapnic acute hypoxemic respiratory failure, treatment with high-flow oxygen, standard oxygen, or noninvasive ventilation did not result in significantly different intubation rates. There was a significant difference in favor of high-flow oxygen in 90-day mortality. (Funded by the Programme Hospitalier de Recherche Clinique Interrégional 2010 of the French Ministry of Health; FLORALI ClinicalTrials.gov number, NCT01320384.).","container-title":"The New England Journal of Medicine","DOI":"10.1056/NEJMoa1503326","ISSN":"1533-4406","issue":"23","journalAbbreviation":"N. Engl. J. Med.","language":"eng","note":"PMID: 25981908","page":"2185-2196","source":"PubMed","title":"High-flow oxygen through nasal cannula in acute hypoxemic respiratory failure","volume":"372","author":[{"family":"Frat","given":"Jean-Pierre"},{"family":"Thille","given":"Arnaud W."},{"family":"Mercat","given":"Alain"},{"family":"Girault","given":"Christophe"},{"family":"Ragot","given":"Stéphanie"},{"family":"Perbet","given":"Sébastien"},{"family":"Prat","given":"Gwénael"},{"family":"Boulain","given":"Thierry"},{"family":"Morawiec","given":"Elise"},{"family":"Cottereau","given":"Alice"},{"family":"Devaquet","given":"Jérôme"},{"family":"Nseir","given":"Saad"},{"family":"Razazi","given":"Keyvan"},{"family":"Mira","given":"Jean-Paul"},{"family":"Argaud","given":"Laurent"},{"family":"Chakarian","given":"Jean-Charles"},{"family":"Ricard","given":"Jean-Damien"},{"family":"Wittebole","given":"Xavier"},{"family":"Chevalier","given":"Stéphanie"},{"family":"Herbland","given":"Alexandre"},{"family":"Fartoukh","given":"Muriel"},{"family":"Constantin","given":"Jean-Michel"},{"family":"Tonnelier","given":"Jean-Marie"},{"family":"Pierrot","given":"Marc"},{"family":"Mathonnet","given":"Armelle"},{"family":"Béduneau","given":"Gaëtan"},{"family":"Delétage-Métreau","given":"Céline"},{"family":"Richard","given":"Jean-Christophe M."},{"family":"Brochard","given":"Laurent"},{"family":"Robert","given":"René"},{"literal":"FLORALI Study Group"},{"literal":"REVA Network"}],"issued":{"date-parts":[["2015",6,4]]}}}],"schema":"https://github.com/citation-style-language/schema/raw/master/csl-citation.json"} </w:instrText>
            </w:r>
            <w:r w:rsidRPr="00BB6001">
              <w:rPr>
                <w:rFonts w:ascii="Times New Roman" w:hAnsi="Times New Roman" w:cs="Times New Roman"/>
                <w:color w:val="000000" w:themeColor="text1"/>
                <w:lang w:val="en-US"/>
              </w:rPr>
              <w:fldChar w:fldCharType="separate"/>
            </w:r>
            <w:r w:rsidRPr="00BB6001">
              <w:rPr>
                <w:rFonts w:ascii="Times New Roman" w:hAnsi="Times New Roman" w:cs="Times New Roman"/>
                <w:noProof/>
                <w:color w:val="000000" w:themeColor="text1"/>
                <w:lang w:val="en-US"/>
              </w:rPr>
              <w:t>(2)</w:t>
            </w:r>
            <w:r w:rsidRPr="00BB6001">
              <w:rPr>
                <w:rFonts w:ascii="Times New Roman" w:hAnsi="Times New Roman" w:cs="Times New Roman"/>
                <w:color w:val="000000" w:themeColor="text1"/>
                <w:lang w:val="en-US"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2ED0CE" w14:textId="77777777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B6001">
              <w:rPr>
                <w:rFonts w:ascii="Times New Roman" w:hAnsi="Times New Roman" w:cs="Times New Roman"/>
                <w:color w:val="000000" w:themeColor="text1"/>
                <w:lang w:val="en-US"/>
              </w:rPr>
              <w:t>0.48 [0.20-1.12]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80D74E3" w14:textId="77777777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B6001">
              <w:rPr>
                <w:rFonts w:ascii="Times New Roman" w:hAnsi="Times New Roman" w:cs="Times New Roman"/>
                <w:color w:val="000000" w:themeColor="text1"/>
                <w:lang w:val="en-US"/>
              </w:rPr>
              <w:t>0.089</w:t>
            </w:r>
          </w:p>
        </w:tc>
      </w:tr>
      <w:tr w:rsidR="00BB6001" w:rsidRPr="004F01E7" w14:paraId="5045CF40" w14:textId="77777777" w:rsidTr="00030800">
        <w:trPr>
          <w:trHeight w:val="330"/>
        </w:trPr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7484112" w14:textId="77777777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B6001">
              <w:rPr>
                <w:rFonts w:ascii="Times New Roman" w:hAnsi="Times New Roman" w:cs="Times New Roman"/>
                <w:color w:val="000000" w:themeColor="text1"/>
                <w:lang w:val="en-US"/>
              </w:rPr>
              <w:t>8</w:t>
            </w:r>
          </w:p>
        </w:tc>
        <w:tc>
          <w:tcPr>
            <w:tcW w:w="6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F51080" w14:textId="5A43A6FF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B6001">
              <w:rPr>
                <w:rFonts w:ascii="Times New Roman" w:hAnsi="Times New Roman" w:cs="Times New Roman"/>
                <w:color w:val="000000" w:themeColor="text1"/>
                <w:lang w:val="en-US"/>
              </w:rPr>
              <w:t>age, serum creatinine, SAPS II, ICU admission, R</w:t>
            </w:r>
            <w:r w:rsidR="004F01E7">
              <w:rPr>
                <w:rFonts w:ascii="Times New Roman" w:hAnsi="Times New Roman" w:cs="Times New Roman"/>
                <w:color w:val="000000" w:themeColor="text1"/>
                <w:lang w:val="en-US"/>
              </w:rPr>
              <w:t>OX</w:t>
            </w:r>
            <w:r w:rsidRPr="00BB600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index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86EAD8" w14:textId="77777777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B6001">
              <w:rPr>
                <w:rFonts w:ascii="Times New Roman" w:hAnsi="Times New Roman" w:cs="Times New Roman"/>
                <w:color w:val="000000" w:themeColor="text1"/>
                <w:lang w:val="en-US"/>
              </w:rPr>
              <w:t>0.48 [0.21-1.11]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7EC5355" w14:textId="77777777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B6001">
              <w:rPr>
                <w:rFonts w:ascii="Times New Roman" w:hAnsi="Times New Roman" w:cs="Times New Roman"/>
                <w:color w:val="000000" w:themeColor="text1"/>
                <w:lang w:val="en-US"/>
              </w:rPr>
              <w:t>0.084</w:t>
            </w:r>
          </w:p>
        </w:tc>
      </w:tr>
      <w:tr w:rsidR="00BB6001" w:rsidRPr="004F01E7" w14:paraId="3DC8E075" w14:textId="77777777" w:rsidTr="00030800">
        <w:trPr>
          <w:trHeight w:val="330"/>
        </w:trPr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12CAF41" w14:textId="77777777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B6001">
              <w:rPr>
                <w:rFonts w:ascii="Times New Roman" w:hAnsi="Times New Roman" w:cs="Times New Roman"/>
                <w:color w:val="000000" w:themeColor="text1"/>
                <w:lang w:val="en-US"/>
              </w:rPr>
              <w:t>9</w:t>
            </w:r>
          </w:p>
        </w:tc>
        <w:tc>
          <w:tcPr>
            <w:tcW w:w="6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4C24C2" w14:textId="77777777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B6001">
              <w:rPr>
                <w:rFonts w:ascii="Times New Roman" w:hAnsi="Times New Roman" w:cs="Times New Roman"/>
                <w:color w:val="000000" w:themeColor="text1"/>
                <w:lang w:val="en-US"/>
              </w:rPr>
              <w:t>age, mottling, MAP°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2AFFA4" w14:textId="77777777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B6001">
              <w:rPr>
                <w:rFonts w:ascii="Times New Roman" w:hAnsi="Times New Roman" w:cs="Times New Roman"/>
                <w:color w:val="000000" w:themeColor="text1"/>
                <w:lang w:val="en-US"/>
              </w:rPr>
              <w:t>0.45 [0.20-0.95]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1A9E1644" w14:textId="77777777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B6001">
              <w:rPr>
                <w:rFonts w:ascii="Times New Roman" w:hAnsi="Times New Roman" w:cs="Times New Roman"/>
                <w:color w:val="000000" w:themeColor="text1"/>
                <w:lang w:val="en-US"/>
              </w:rPr>
              <w:t>0.035</w:t>
            </w:r>
          </w:p>
        </w:tc>
      </w:tr>
      <w:tr w:rsidR="00BB6001" w:rsidRPr="004F01E7" w14:paraId="7E831EBD" w14:textId="77777777" w:rsidTr="00030800">
        <w:trPr>
          <w:trHeight w:val="315"/>
        </w:trPr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E57B35B" w14:textId="77777777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B6001">
              <w:rPr>
                <w:rFonts w:ascii="Times New Roman" w:hAnsi="Times New Roman" w:cs="Times New Roman"/>
                <w:color w:val="000000" w:themeColor="text1"/>
                <w:lang w:val="en-US"/>
              </w:rPr>
              <w:t>10</w:t>
            </w:r>
          </w:p>
        </w:tc>
        <w:tc>
          <w:tcPr>
            <w:tcW w:w="6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889581" w14:textId="77777777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B6001">
              <w:rPr>
                <w:rFonts w:ascii="Times New Roman" w:hAnsi="Times New Roman" w:cs="Times New Roman"/>
                <w:color w:val="000000" w:themeColor="text1"/>
                <w:lang w:val="en-US"/>
              </w:rPr>
              <w:t>age, mottling, MAP°, serum lactate*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DC61D6" w14:textId="77777777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B6001">
              <w:rPr>
                <w:rFonts w:ascii="Times New Roman" w:hAnsi="Times New Roman" w:cs="Times New Roman"/>
                <w:color w:val="000000" w:themeColor="text1"/>
                <w:lang w:val="en-US"/>
              </w:rPr>
              <w:t>0.36 [0.16-0.83]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8A21EC3" w14:textId="77777777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B6001">
              <w:rPr>
                <w:rFonts w:ascii="Times New Roman" w:hAnsi="Times New Roman" w:cs="Times New Roman"/>
                <w:color w:val="000000" w:themeColor="text1"/>
                <w:lang w:val="en-US"/>
              </w:rPr>
              <w:t>0.016</w:t>
            </w:r>
          </w:p>
        </w:tc>
      </w:tr>
      <w:tr w:rsidR="00BB6001" w:rsidRPr="004F01E7" w14:paraId="1459E223" w14:textId="77777777" w:rsidTr="00030800">
        <w:trPr>
          <w:trHeight w:val="315"/>
        </w:trPr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073F3B44" w14:textId="77777777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B6001">
              <w:rPr>
                <w:rFonts w:ascii="Times New Roman" w:hAnsi="Times New Roman" w:cs="Times New Roman"/>
                <w:color w:val="000000" w:themeColor="text1"/>
                <w:lang w:val="en-US"/>
              </w:rPr>
              <w:t>11</w:t>
            </w:r>
          </w:p>
        </w:tc>
        <w:tc>
          <w:tcPr>
            <w:tcW w:w="67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D143E5" w14:textId="77777777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B600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age, sex, mottling, MAP°, serum lactate*, oxygen </w:t>
            </w:r>
            <w:proofErr w:type="gramStart"/>
            <w:r w:rsidRPr="00BB6001">
              <w:rPr>
                <w:rFonts w:ascii="Times New Roman" w:hAnsi="Times New Roman" w:cs="Times New Roman"/>
                <w:color w:val="000000" w:themeColor="text1"/>
                <w:lang w:val="en-US"/>
              </w:rPr>
              <w:t>need</w:t>
            </w:r>
            <w:proofErr w:type="gram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2677C4" w14:textId="77777777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B6001">
              <w:rPr>
                <w:rFonts w:ascii="Times New Roman" w:hAnsi="Times New Roman" w:cs="Times New Roman"/>
                <w:color w:val="000000" w:themeColor="text1"/>
                <w:lang w:val="en-US"/>
              </w:rPr>
              <w:t>0.39 [0.17-0.89]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70CD704B" w14:textId="77777777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B6001">
              <w:rPr>
                <w:rFonts w:ascii="Times New Roman" w:hAnsi="Times New Roman" w:cs="Times New Roman"/>
                <w:color w:val="000000" w:themeColor="text1"/>
                <w:lang w:val="en-US"/>
              </w:rPr>
              <w:t>0.025</w:t>
            </w:r>
          </w:p>
        </w:tc>
      </w:tr>
      <w:tr w:rsidR="00BB6001" w:rsidRPr="004F01E7" w14:paraId="21D5C599" w14:textId="77777777" w:rsidTr="00030800">
        <w:trPr>
          <w:trHeight w:val="315"/>
        </w:trPr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574519FA" w14:textId="77777777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B6001">
              <w:rPr>
                <w:rFonts w:ascii="Times New Roman" w:hAnsi="Times New Roman" w:cs="Times New Roman"/>
                <w:color w:val="000000" w:themeColor="text1"/>
                <w:lang w:val="en-US"/>
              </w:rPr>
              <w:t>12</w:t>
            </w:r>
          </w:p>
        </w:tc>
        <w:tc>
          <w:tcPr>
            <w:tcW w:w="6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026DAE" w14:textId="77777777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B600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Serum creatinine, oxygen need, SAPS II, ICU admission, ROX index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36683B" w14:textId="77777777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B6001">
              <w:rPr>
                <w:rFonts w:ascii="Times New Roman" w:hAnsi="Times New Roman" w:cs="Times New Roman"/>
                <w:color w:val="000000" w:themeColor="text1"/>
                <w:lang w:val="en-US"/>
              </w:rPr>
              <w:t>0.48 [0.21-1.11]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334965DE" w14:textId="77777777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B6001">
              <w:rPr>
                <w:rFonts w:ascii="Times New Roman" w:hAnsi="Times New Roman" w:cs="Times New Roman"/>
                <w:color w:val="000000" w:themeColor="text1"/>
                <w:lang w:val="en-US"/>
              </w:rPr>
              <w:t>0.085</w:t>
            </w:r>
          </w:p>
        </w:tc>
      </w:tr>
      <w:tr w:rsidR="00BB6001" w:rsidRPr="004F01E7" w14:paraId="23E85814" w14:textId="77777777" w:rsidTr="00030800">
        <w:trPr>
          <w:trHeight w:val="315"/>
        </w:trPr>
        <w:tc>
          <w:tcPr>
            <w:tcW w:w="4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210A5128" w14:textId="77777777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B6001">
              <w:rPr>
                <w:rFonts w:ascii="Times New Roman" w:hAnsi="Times New Roman" w:cs="Times New Roman"/>
                <w:color w:val="000000" w:themeColor="text1"/>
                <w:lang w:val="en-US"/>
              </w:rPr>
              <w:t>13</w:t>
            </w:r>
          </w:p>
        </w:tc>
        <w:tc>
          <w:tcPr>
            <w:tcW w:w="671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D82574" w14:textId="77777777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B6001">
              <w:rPr>
                <w:rFonts w:ascii="Times New Roman" w:hAnsi="Times New Roman" w:cs="Times New Roman"/>
                <w:color w:val="000000" w:themeColor="text1"/>
                <w:lang w:val="en-US"/>
              </w:rPr>
              <w:t>age, mottling, serum lactate*, MAP°, oxygen rate flow</w:t>
            </w:r>
            <w:r w:rsidRPr="00BB6001">
              <w:rPr>
                <w:rFonts w:ascii="Times New Roman" w:hAnsi="Times New Roman" w:cs="Times New Roman"/>
                <w:color w:val="000000" w:themeColor="text1"/>
                <w:vertAlign w:val="superscript"/>
                <w:lang w:val="en-US"/>
              </w:rPr>
              <w:t>#</w:t>
            </w:r>
            <w:r w:rsidRPr="00BB6001">
              <w:rPr>
                <w:rFonts w:ascii="Times New Roman" w:hAnsi="Times New Roman" w:cs="Times New Roman"/>
                <w:color w:val="000000" w:themeColor="text1"/>
                <w:lang w:val="en-US"/>
              </w:rPr>
              <w:t>, N° of treatments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219647" w14:textId="77777777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B6001">
              <w:rPr>
                <w:rFonts w:ascii="Times New Roman" w:hAnsi="Times New Roman" w:cs="Times New Roman"/>
                <w:color w:val="000000" w:themeColor="text1"/>
                <w:lang w:val="en-US"/>
              </w:rPr>
              <w:t>0.36 [0.15-0.87]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</w:tcPr>
          <w:p w14:paraId="418EF20B" w14:textId="77777777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B6001">
              <w:rPr>
                <w:rFonts w:ascii="Times New Roman" w:hAnsi="Times New Roman" w:cs="Times New Roman"/>
                <w:color w:val="000000" w:themeColor="text1"/>
                <w:lang w:val="en-US"/>
              </w:rPr>
              <w:t>0.023</w:t>
            </w:r>
          </w:p>
        </w:tc>
      </w:tr>
      <w:tr w:rsidR="00BB6001" w:rsidRPr="004F01E7" w14:paraId="0807274D" w14:textId="77777777" w:rsidTr="00E615A6">
        <w:trPr>
          <w:trHeight w:val="315"/>
        </w:trPr>
        <w:tc>
          <w:tcPr>
            <w:tcW w:w="9736" w:type="dxa"/>
            <w:gridSpan w:val="4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noWrap/>
          </w:tcPr>
          <w:p w14:paraId="445B4CBD" w14:textId="77777777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B600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* mmol/l; ° mmHg ; </w:t>
            </w:r>
            <w:r w:rsidRPr="00BB6001">
              <w:rPr>
                <w:rFonts w:ascii="Times New Roman" w:hAnsi="Times New Roman" w:cs="Times New Roman"/>
                <w:color w:val="000000" w:themeColor="text1"/>
                <w:vertAlign w:val="superscript"/>
                <w:lang w:val="en-US"/>
              </w:rPr>
              <w:t>#</w:t>
            </w:r>
            <w:r w:rsidRPr="00BB6001">
              <w:rPr>
                <w:rFonts w:ascii="Times New Roman" w:hAnsi="Times New Roman" w:cs="Times New Roman"/>
                <w:color w:val="000000" w:themeColor="text1"/>
                <w:lang w:val="en-US"/>
              </w:rPr>
              <w:t xml:space="preserve"> l/min</w:t>
            </w:r>
          </w:p>
          <w:p w14:paraId="06806DF6" w14:textId="2D96FBB4" w:rsidR="00BB6001" w:rsidRPr="00BB6001" w:rsidRDefault="00BB6001" w:rsidP="00030800">
            <w:pPr>
              <w:spacing w:after="0"/>
              <w:rPr>
                <w:rFonts w:ascii="Times New Roman" w:hAnsi="Times New Roman" w:cs="Times New Roman"/>
                <w:color w:val="000000" w:themeColor="text1"/>
                <w:lang w:val="en-US"/>
              </w:rPr>
            </w:pPr>
            <w:r w:rsidRPr="00BB6001">
              <w:rPr>
                <w:rFonts w:ascii="Times New Roman" w:hAnsi="Times New Roman" w:cs="Times New Roman"/>
                <w:color w:val="000000" w:themeColor="text1"/>
                <w:lang w:val="en-US"/>
              </w:rPr>
              <w:t>Abbreviation: MAP: Mean arterial pressure ; SAPS: Simplified acute physiology score ; ICU: intensive care unit</w:t>
            </w:r>
          </w:p>
        </w:tc>
      </w:tr>
    </w:tbl>
    <w:p w14:paraId="75820CD1" w14:textId="6F3E0AAB" w:rsidR="006F42C2" w:rsidRPr="00CA457D" w:rsidRDefault="006F42C2" w:rsidP="00CA457D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67E8B7FF" w14:textId="77777777" w:rsidR="00CA457D" w:rsidRPr="00CA457D" w:rsidRDefault="00CA457D" w:rsidP="00CA457D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p w14:paraId="3A2C2E18" w14:textId="00FA8DAB" w:rsidR="00CA457D" w:rsidRPr="00CA457D" w:rsidRDefault="00CA457D" w:rsidP="00CA457D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en-US"/>
        </w:rPr>
      </w:pPr>
      <w:r w:rsidRPr="00CA457D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en-US"/>
        </w:rPr>
        <w:lastRenderedPageBreak/>
        <w:t>References</w:t>
      </w:r>
    </w:p>
    <w:p w14:paraId="27198BA0" w14:textId="77777777" w:rsidR="00CA457D" w:rsidRPr="00CA457D" w:rsidRDefault="00CA457D" w:rsidP="00CA457D">
      <w:pPr>
        <w:spacing w:after="0"/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  <w:lang w:val="en-US"/>
        </w:rPr>
      </w:pPr>
    </w:p>
    <w:p w14:paraId="2803C5F4" w14:textId="77777777" w:rsidR="00CA457D" w:rsidRPr="00CA457D" w:rsidRDefault="00CA457D" w:rsidP="00CA457D">
      <w:pPr>
        <w:pStyle w:val="Bibliographie1"/>
        <w:rPr>
          <w:color w:val="000000"/>
          <w:sz w:val="24"/>
          <w:szCs w:val="24"/>
        </w:rPr>
      </w:pPr>
      <w:r w:rsidRPr="00CA457D">
        <w:rPr>
          <w:sz w:val="24"/>
          <w:szCs w:val="24"/>
        </w:rPr>
        <w:fldChar w:fldCharType="begin"/>
      </w:r>
      <w:r w:rsidRPr="00CA457D">
        <w:rPr>
          <w:sz w:val="24"/>
          <w:szCs w:val="24"/>
        </w:rPr>
        <w:instrText xml:space="preserve"> ADDIN ZOTERO_BIBL {"uncited":[],"omitted":[],"custom":[]} CSL_BIBLIOGRAPHY </w:instrText>
      </w:r>
      <w:r w:rsidRPr="00CA457D">
        <w:rPr>
          <w:sz w:val="24"/>
          <w:szCs w:val="24"/>
        </w:rPr>
        <w:fldChar w:fldCharType="separate"/>
      </w:r>
      <w:r w:rsidRPr="00CA457D">
        <w:rPr>
          <w:color w:val="000000"/>
          <w:sz w:val="24"/>
          <w:szCs w:val="24"/>
        </w:rPr>
        <w:t xml:space="preserve">1. </w:t>
      </w:r>
      <w:r w:rsidRPr="00CA457D">
        <w:rPr>
          <w:color w:val="000000"/>
          <w:sz w:val="24"/>
          <w:szCs w:val="24"/>
        </w:rPr>
        <w:tab/>
        <w:t xml:space="preserve">Roca O, Messika J, Caralt B, García-de-Acilu M, Sztrymf B, Ricard J-D, et al. Predicting success of high-flow nasal cannula in pneumonia patients with hypoxemic respiratory failure: The utility of the ROX index. J Crit Care. 2016 Oct;35:200–5. </w:t>
      </w:r>
    </w:p>
    <w:p w14:paraId="33CDDEEF" w14:textId="77777777" w:rsidR="00CA457D" w:rsidRPr="00CA457D" w:rsidRDefault="00CA457D" w:rsidP="00CA457D">
      <w:pPr>
        <w:pStyle w:val="Bibliographie1"/>
        <w:rPr>
          <w:color w:val="000000"/>
          <w:sz w:val="24"/>
          <w:szCs w:val="24"/>
        </w:rPr>
      </w:pPr>
      <w:r w:rsidRPr="00CA457D">
        <w:rPr>
          <w:color w:val="000000"/>
          <w:sz w:val="24"/>
          <w:szCs w:val="24"/>
        </w:rPr>
        <w:t xml:space="preserve">2. </w:t>
      </w:r>
      <w:r w:rsidRPr="00CA457D">
        <w:rPr>
          <w:color w:val="000000"/>
          <w:sz w:val="24"/>
          <w:szCs w:val="24"/>
        </w:rPr>
        <w:tab/>
        <w:t xml:space="preserve">Frat J-P, Thille AW, Mercat A, Girault C, Ragot S, Perbet S, et al. High-flow oxygen through nasal cannula in acute hypoxemic respiratory failure. N Engl J Med. 2015 Jun 4;372(23):2185–96. </w:t>
      </w:r>
    </w:p>
    <w:p w14:paraId="66625823" w14:textId="7E32371A" w:rsidR="00CA457D" w:rsidRPr="00CA457D" w:rsidRDefault="00CA457D" w:rsidP="00CA457D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  <w:r w:rsidRPr="00CA457D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fldChar w:fldCharType="end"/>
      </w:r>
    </w:p>
    <w:p w14:paraId="4E12E504" w14:textId="77777777" w:rsidR="00CA457D" w:rsidRPr="00CA457D" w:rsidRDefault="00CA457D" w:rsidP="00CA457D">
      <w:pPr>
        <w:spacing w:after="0"/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</w:pPr>
    </w:p>
    <w:sectPr w:rsidR="00CA457D" w:rsidRPr="00CA457D" w:rsidSect="008D39E5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03BF"/>
    <w:rsid w:val="00026ED5"/>
    <w:rsid w:val="00050261"/>
    <w:rsid w:val="00064F3B"/>
    <w:rsid w:val="00075776"/>
    <w:rsid w:val="000F0EF5"/>
    <w:rsid w:val="00111BEE"/>
    <w:rsid w:val="00133DC1"/>
    <w:rsid w:val="00171476"/>
    <w:rsid w:val="00200961"/>
    <w:rsid w:val="00207A6F"/>
    <w:rsid w:val="00221241"/>
    <w:rsid w:val="00273DC6"/>
    <w:rsid w:val="0029782D"/>
    <w:rsid w:val="002D6769"/>
    <w:rsid w:val="002F618F"/>
    <w:rsid w:val="00317F6E"/>
    <w:rsid w:val="003203BF"/>
    <w:rsid w:val="0034240F"/>
    <w:rsid w:val="00365BBC"/>
    <w:rsid w:val="00383741"/>
    <w:rsid w:val="00405D97"/>
    <w:rsid w:val="004127BB"/>
    <w:rsid w:val="00431217"/>
    <w:rsid w:val="004F01E7"/>
    <w:rsid w:val="00565570"/>
    <w:rsid w:val="005C2EF2"/>
    <w:rsid w:val="005F6CC4"/>
    <w:rsid w:val="0060503B"/>
    <w:rsid w:val="006A1DF3"/>
    <w:rsid w:val="006B380A"/>
    <w:rsid w:val="006F42C2"/>
    <w:rsid w:val="007405DA"/>
    <w:rsid w:val="00787941"/>
    <w:rsid w:val="00796DFB"/>
    <w:rsid w:val="007C7A60"/>
    <w:rsid w:val="00811CA7"/>
    <w:rsid w:val="008D39E5"/>
    <w:rsid w:val="00912A69"/>
    <w:rsid w:val="0091398B"/>
    <w:rsid w:val="00921E20"/>
    <w:rsid w:val="009F453D"/>
    <w:rsid w:val="00A314E1"/>
    <w:rsid w:val="00AB0A9E"/>
    <w:rsid w:val="00AB3D31"/>
    <w:rsid w:val="00B32252"/>
    <w:rsid w:val="00BB6001"/>
    <w:rsid w:val="00BF4C07"/>
    <w:rsid w:val="00BF4D3E"/>
    <w:rsid w:val="00BF7F95"/>
    <w:rsid w:val="00C24CBC"/>
    <w:rsid w:val="00C257B1"/>
    <w:rsid w:val="00C34E43"/>
    <w:rsid w:val="00CA457D"/>
    <w:rsid w:val="00CE387E"/>
    <w:rsid w:val="00D5494C"/>
    <w:rsid w:val="00E026CD"/>
    <w:rsid w:val="00EB7E5D"/>
    <w:rsid w:val="00ED32FB"/>
    <w:rsid w:val="00F269BB"/>
    <w:rsid w:val="00FA1904"/>
    <w:rsid w:val="00FC1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85975A"/>
  <w15:chartTrackingRefBased/>
  <w15:docId w15:val="{7A0F1C44-016F-3D49-80E1-24BAF5E06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3BF"/>
    <w:pPr>
      <w:spacing w:after="160" w:line="259" w:lineRule="auto"/>
    </w:pPr>
    <w:rPr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M1">
    <w:name w:val="toc 1"/>
    <w:basedOn w:val="Normal"/>
    <w:next w:val="Normal"/>
    <w:autoRedefine/>
    <w:uiPriority w:val="39"/>
    <w:unhideWhenUsed/>
    <w:rsid w:val="00811CA7"/>
    <w:pPr>
      <w:spacing w:before="120" w:after="0" w:line="360" w:lineRule="auto"/>
    </w:pPr>
    <w:rPr>
      <w:rFonts w:asciiTheme="majorHAnsi" w:eastAsiaTheme="minorEastAsia" w:hAnsiTheme="majorHAnsi" w:cstheme="minorHAnsi"/>
      <w:b/>
      <w:bCs/>
      <w:i/>
      <w:iCs/>
      <w:sz w:val="24"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811CA7"/>
    <w:pPr>
      <w:spacing w:before="120" w:after="0" w:line="360" w:lineRule="auto"/>
      <w:ind w:left="240"/>
    </w:pPr>
    <w:rPr>
      <w:rFonts w:asciiTheme="majorHAnsi" w:eastAsiaTheme="minorEastAsia" w:hAnsiTheme="majorHAnsi" w:cstheme="minorHAnsi"/>
      <w:b/>
      <w:bCs/>
    </w:rPr>
  </w:style>
  <w:style w:type="paragraph" w:styleId="TM3">
    <w:name w:val="toc 3"/>
    <w:basedOn w:val="Normal"/>
    <w:next w:val="Normal"/>
    <w:autoRedefine/>
    <w:uiPriority w:val="39"/>
    <w:unhideWhenUsed/>
    <w:rsid w:val="00811CA7"/>
    <w:pPr>
      <w:spacing w:after="0" w:line="360" w:lineRule="auto"/>
      <w:ind w:left="480"/>
    </w:pPr>
    <w:rPr>
      <w:rFonts w:asciiTheme="majorHAnsi" w:eastAsiaTheme="minorEastAsia" w:hAnsiTheme="majorHAnsi" w:cstheme="minorHAnsi"/>
      <w:sz w:val="20"/>
      <w:szCs w:val="20"/>
    </w:rPr>
  </w:style>
  <w:style w:type="paragraph" w:customStyle="1" w:styleId="Default">
    <w:name w:val="Default"/>
    <w:link w:val="DefaultCar"/>
    <w:rsid w:val="003203BF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  <w:style w:type="character" w:customStyle="1" w:styleId="DefaultCar">
    <w:name w:val="Default Car"/>
    <w:basedOn w:val="Policepardfaut"/>
    <w:link w:val="Default"/>
    <w:rsid w:val="003203BF"/>
    <w:rPr>
      <w:rFonts w:ascii="Times New Roman" w:hAnsi="Times New Roman" w:cs="Times New Roman"/>
      <w:color w:val="000000"/>
    </w:rPr>
  </w:style>
  <w:style w:type="paragraph" w:customStyle="1" w:styleId="Bibliographie1">
    <w:name w:val="Bibliographie1"/>
    <w:basedOn w:val="Normal"/>
    <w:link w:val="BibliographyCar"/>
    <w:rsid w:val="00CA457D"/>
    <w:pPr>
      <w:tabs>
        <w:tab w:val="left" w:pos="380"/>
      </w:tabs>
      <w:spacing w:after="240" w:line="240" w:lineRule="auto"/>
      <w:ind w:left="384" w:hanging="384"/>
    </w:pPr>
    <w:rPr>
      <w:rFonts w:ascii="Times New Roman" w:hAnsi="Times New Roman" w:cs="Times New Roman"/>
      <w:color w:val="000000" w:themeColor="text1"/>
      <w:sz w:val="20"/>
      <w:szCs w:val="20"/>
      <w:lang w:val="en-US"/>
    </w:rPr>
  </w:style>
  <w:style w:type="character" w:customStyle="1" w:styleId="BibliographyCar">
    <w:name w:val="Bibliography Car"/>
    <w:basedOn w:val="Policepardfaut"/>
    <w:link w:val="Bibliographie1"/>
    <w:rsid w:val="00CA457D"/>
    <w:rPr>
      <w:rFonts w:ascii="Times New Roman" w:hAnsi="Times New Roman" w:cs="Times New Roman"/>
      <w:color w:val="000000" w:themeColor="text1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1577</Words>
  <Characters>8678</Characters>
  <Application>Microsoft Office Word</Application>
  <DocSecurity>0</DocSecurity>
  <Lines>72</Lines>
  <Paragraphs>20</Paragraphs>
  <ScaleCrop>false</ScaleCrop>
  <Company/>
  <LinksUpToDate>false</LinksUpToDate>
  <CharactersWithSpaces>10235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LOPEZ Alexandre</dc:creator>
  <cp:keywords/>
  <dc:description/>
  <cp:lastModifiedBy>LOPEZ Alexandre</cp:lastModifiedBy>
  <cp:revision>6</cp:revision>
  <dcterms:created xsi:type="dcterms:W3CDTF">2020-12-17T18:11:00Z</dcterms:created>
  <dcterms:modified xsi:type="dcterms:W3CDTF">2020-12-21T14:01:00Z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zotero-version="5.0.93"&gt;&lt;session id="6g7kLorf"/&gt;&lt;style id="http://www.zotero.org/styles/vancouver" locale="en-GB" hasBibliography="1" bibliographyStyleHasBeenSet="1"/&gt;&lt;prefs&gt;&lt;pref name="fieldType" value="Field"/&gt;&lt;/prefs&gt;&lt;/data&gt;</vt:lpwstr>
  </property>
</Properties>
</file>