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E3081" w14:textId="3743639C" w:rsidR="00C261F6" w:rsidRPr="00C261F6" w:rsidRDefault="00C261F6" w:rsidP="00C261F6">
      <w:pPr>
        <w:rPr>
          <w:rFonts w:ascii="Arial" w:hAnsi="Arial" w:cs="Arial"/>
          <w:b/>
          <w:bCs/>
          <w:color w:val="FF0000"/>
          <w:sz w:val="24"/>
          <w:szCs w:val="24"/>
          <w:lang w:val="en-US"/>
        </w:rPr>
      </w:pPr>
      <w:bookmarkStart w:id="0" w:name="_GoBack"/>
      <w:r w:rsidRPr="00C261F6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Additional file </w:t>
      </w:r>
      <w:r w:rsidR="003E47DA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6</w:t>
      </w:r>
      <w:r w:rsidRPr="00C261F6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r w:rsidRPr="00BC02EC">
        <w:rPr>
          <w:rFonts w:ascii="Arial" w:hAnsi="Arial" w:cs="Arial"/>
          <w:color w:val="FF0000"/>
          <w:sz w:val="24"/>
          <w:szCs w:val="24"/>
          <w:lang w:val="en-US"/>
        </w:rPr>
        <w:t>Cytokine half-lives as reported in literature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71"/>
        <w:gridCol w:w="1418"/>
        <w:gridCol w:w="6520"/>
      </w:tblGrid>
      <w:tr w:rsidR="00C261F6" w:rsidRPr="00C261F6" w14:paraId="3AB0948B" w14:textId="77777777" w:rsidTr="00C261F6">
        <w:tc>
          <w:tcPr>
            <w:tcW w:w="1271" w:type="dxa"/>
          </w:tcPr>
          <w:p w14:paraId="60576947" w14:textId="1CBD361D" w:rsidR="00C261F6" w:rsidRPr="00C261F6" w:rsidRDefault="00C261F6" w:rsidP="00542BD4">
            <w:pPr>
              <w:jc w:val="both"/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Cytokine</w:t>
            </w:r>
          </w:p>
        </w:tc>
        <w:tc>
          <w:tcPr>
            <w:tcW w:w="1418" w:type="dxa"/>
          </w:tcPr>
          <w:p w14:paraId="146EAD46" w14:textId="77777777" w:rsidR="00C261F6" w:rsidRPr="00C261F6" w:rsidRDefault="00C261F6" w:rsidP="00542BD4">
            <w:pPr>
              <w:jc w:val="both"/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Half-life</w:t>
            </w:r>
          </w:p>
        </w:tc>
        <w:tc>
          <w:tcPr>
            <w:tcW w:w="6520" w:type="dxa"/>
          </w:tcPr>
          <w:p w14:paraId="74FA2028" w14:textId="77777777" w:rsidR="00C261F6" w:rsidRPr="00C261F6" w:rsidRDefault="00C261F6" w:rsidP="00542BD4">
            <w:pPr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References</w:t>
            </w:r>
          </w:p>
        </w:tc>
      </w:tr>
      <w:tr w:rsidR="00C261F6" w:rsidRPr="00C261F6" w14:paraId="6DBD7033" w14:textId="77777777" w:rsidTr="00C261F6">
        <w:tc>
          <w:tcPr>
            <w:tcW w:w="1271" w:type="dxa"/>
          </w:tcPr>
          <w:p w14:paraId="233F75A2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IL-2</w:t>
            </w:r>
          </w:p>
        </w:tc>
        <w:tc>
          <w:tcPr>
            <w:tcW w:w="1418" w:type="dxa"/>
          </w:tcPr>
          <w:p w14:paraId="54909939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5-7 minutes</w:t>
            </w:r>
          </w:p>
        </w:tc>
        <w:tc>
          <w:tcPr>
            <w:tcW w:w="6520" w:type="dxa"/>
          </w:tcPr>
          <w:p w14:paraId="4A530396" w14:textId="1F844177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Lotze MT, Frana LW, Sharrow SO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. In vivo administration of purified human interleukin 2. I. Half-life and immunologic effects of the Jurkat cell line-derived interleukin 2. J Immunol. 1985;134(1):157-66. </w:t>
            </w:r>
          </w:p>
        </w:tc>
      </w:tr>
      <w:tr w:rsidR="00C261F6" w:rsidRPr="00C261F6" w14:paraId="18653AF8" w14:textId="77777777" w:rsidTr="00C261F6">
        <w:tc>
          <w:tcPr>
            <w:tcW w:w="1271" w:type="dxa"/>
          </w:tcPr>
          <w:p w14:paraId="17864526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IL-4</w:t>
            </w:r>
          </w:p>
        </w:tc>
        <w:tc>
          <w:tcPr>
            <w:tcW w:w="1418" w:type="dxa"/>
          </w:tcPr>
          <w:p w14:paraId="15177695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19 minutes</w:t>
            </w:r>
          </w:p>
        </w:tc>
        <w:tc>
          <w:tcPr>
            <w:tcW w:w="6520" w:type="dxa"/>
          </w:tcPr>
          <w:p w14:paraId="402CF950" w14:textId="77777777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Conlon PJ, Tyler S, Grabstein KH, Morrissey P. Interleukin-4 (B-cell stimulatory factor-1) augments the in vivo generation of cytotoxic cells in immunosuppressed animals. Biotechnol Ther. 1989-1990;1(1):31-41.</w:t>
            </w:r>
          </w:p>
        </w:tc>
      </w:tr>
      <w:tr w:rsidR="00C261F6" w:rsidRPr="00C261F6" w14:paraId="0AF5F5C5" w14:textId="77777777" w:rsidTr="00C261F6">
        <w:tc>
          <w:tcPr>
            <w:tcW w:w="1271" w:type="dxa"/>
          </w:tcPr>
          <w:p w14:paraId="7E940BD0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IL-6</w:t>
            </w:r>
          </w:p>
        </w:tc>
        <w:tc>
          <w:tcPr>
            <w:tcW w:w="1418" w:type="dxa"/>
          </w:tcPr>
          <w:p w14:paraId="109634F5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10 minutes</w:t>
            </w:r>
          </w:p>
        </w:tc>
        <w:tc>
          <w:tcPr>
            <w:tcW w:w="6520" w:type="dxa"/>
          </w:tcPr>
          <w:p w14:paraId="6D7A615C" w14:textId="01347FE7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Oda S, Hirasawa H, Shiga H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. Sequential measurement of IL-6 blood levels in patients with systemic inflammatory response syndrome (SIRS)/sepsis. Cytokine. 2005;29:169-75. </w:t>
            </w:r>
          </w:p>
        </w:tc>
      </w:tr>
      <w:tr w:rsidR="00C261F6" w:rsidRPr="00C261F6" w14:paraId="67156DB4" w14:textId="77777777" w:rsidTr="00C261F6">
        <w:tc>
          <w:tcPr>
            <w:tcW w:w="1271" w:type="dxa"/>
          </w:tcPr>
          <w:p w14:paraId="18E2370C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IL-8</w:t>
            </w:r>
          </w:p>
        </w:tc>
        <w:tc>
          <w:tcPr>
            <w:tcW w:w="1418" w:type="dxa"/>
          </w:tcPr>
          <w:p w14:paraId="39668ED7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4 hours</w:t>
            </w:r>
          </w:p>
        </w:tc>
        <w:tc>
          <w:tcPr>
            <w:tcW w:w="6520" w:type="dxa"/>
          </w:tcPr>
          <w:p w14:paraId="2E82B2E3" w14:textId="1FA290BD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Orlikowsky TW, Neunhoeffer F, Goelz R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. Evaluation of IL-8-concentrations in plasma and lysed EDTA-blood in healthy neonates and those with suspected early onset bacterial infection. Pediatr Res. 2004;56(5):804-9.</w:t>
            </w:r>
          </w:p>
        </w:tc>
      </w:tr>
      <w:tr w:rsidR="00C261F6" w:rsidRPr="00C261F6" w14:paraId="42755076" w14:textId="77777777" w:rsidTr="00C261F6">
        <w:tc>
          <w:tcPr>
            <w:tcW w:w="1271" w:type="dxa"/>
          </w:tcPr>
          <w:p w14:paraId="3C1E77EB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IL-10</w:t>
            </w:r>
          </w:p>
        </w:tc>
        <w:tc>
          <w:tcPr>
            <w:tcW w:w="1418" w:type="dxa"/>
          </w:tcPr>
          <w:p w14:paraId="77EB50ED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2-7 hours</w:t>
            </w:r>
          </w:p>
        </w:tc>
        <w:tc>
          <w:tcPr>
            <w:tcW w:w="6520" w:type="dxa"/>
          </w:tcPr>
          <w:p w14:paraId="198C9D25" w14:textId="78041444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Huhn RD, Radwanski E, Gallo J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. Pharmacodynamics of subcutaneous recombinant human interleukin-10 in healthy volunteers. Clin Pharmacol Ther. 1997;62(2):171-80. </w:t>
            </w:r>
          </w:p>
        </w:tc>
      </w:tr>
      <w:tr w:rsidR="00C261F6" w:rsidRPr="00C261F6" w14:paraId="00837AC6" w14:textId="77777777" w:rsidTr="00C261F6">
        <w:tc>
          <w:tcPr>
            <w:tcW w:w="1271" w:type="dxa"/>
          </w:tcPr>
          <w:p w14:paraId="299C854D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IL-1alpha</w:t>
            </w:r>
          </w:p>
        </w:tc>
        <w:tc>
          <w:tcPr>
            <w:tcW w:w="1418" w:type="dxa"/>
          </w:tcPr>
          <w:p w14:paraId="74B2AAEB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30 minutes</w:t>
            </w:r>
          </w:p>
        </w:tc>
        <w:tc>
          <w:tcPr>
            <w:tcW w:w="6520" w:type="dxa"/>
            <w:vMerge w:val="restart"/>
          </w:tcPr>
          <w:p w14:paraId="0553F24F" w14:textId="295C3654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Kondo S, Sauder DN, Kono 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>T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. Differential modulation of interleukin-1 alpha (IL-1 alpha) and interleukin-1 beta (IL-1 beta) in human epidermal keratinocytes by UVB. Exp Dermatol. 1994;3(1):29-39. </w:t>
            </w:r>
          </w:p>
        </w:tc>
      </w:tr>
      <w:tr w:rsidR="00C261F6" w:rsidRPr="00C261F6" w14:paraId="0C861720" w14:textId="77777777" w:rsidTr="00C261F6">
        <w:tc>
          <w:tcPr>
            <w:tcW w:w="1271" w:type="dxa"/>
          </w:tcPr>
          <w:p w14:paraId="4F09A8A3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IL-1beta</w:t>
            </w:r>
          </w:p>
        </w:tc>
        <w:tc>
          <w:tcPr>
            <w:tcW w:w="1418" w:type="dxa"/>
          </w:tcPr>
          <w:p w14:paraId="40976396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2 hours</w:t>
            </w:r>
          </w:p>
        </w:tc>
        <w:tc>
          <w:tcPr>
            <w:tcW w:w="6520" w:type="dxa"/>
            <w:vMerge/>
          </w:tcPr>
          <w:p w14:paraId="0AD445CA" w14:textId="77777777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</w:p>
        </w:tc>
      </w:tr>
      <w:tr w:rsidR="00C261F6" w:rsidRPr="00C261F6" w14:paraId="266EC79F" w14:textId="77777777" w:rsidTr="00C261F6">
        <w:tc>
          <w:tcPr>
            <w:tcW w:w="1271" w:type="dxa"/>
          </w:tcPr>
          <w:p w14:paraId="0F31D7B5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TNF-alpha</w:t>
            </w:r>
          </w:p>
        </w:tc>
        <w:tc>
          <w:tcPr>
            <w:tcW w:w="1418" w:type="dxa"/>
          </w:tcPr>
          <w:p w14:paraId="062CED42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5 minutes</w:t>
            </w:r>
          </w:p>
        </w:tc>
        <w:tc>
          <w:tcPr>
            <w:tcW w:w="6520" w:type="dxa"/>
          </w:tcPr>
          <w:p w14:paraId="0496C0CA" w14:textId="6998DF74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Diez-Ruiz A, Tilz GP, Zangerle R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. Soluble receptors for tumour necrosis factor in clinical laboratory diagnosis. Eur J Haematol. 1995;54(1):1-8.</w:t>
            </w:r>
          </w:p>
        </w:tc>
      </w:tr>
      <w:tr w:rsidR="00C261F6" w:rsidRPr="00C261F6" w14:paraId="505F9100" w14:textId="77777777" w:rsidTr="00C261F6">
        <w:tc>
          <w:tcPr>
            <w:tcW w:w="1271" w:type="dxa"/>
          </w:tcPr>
          <w:p w14:paraId="02ECE81F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INF-gamma</w:t>
            </w:r>
          </w:p>
        </w:tc>
        <w:tc>
          <w:tcPr>
            <w:tcW w:w="1418" w:type="dxa"/>
          </w:tcPr>
          <w:p w14:paraId="55919A11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30 minutes - 4.5 hours</w:t>
            </w:r>
          </w:p>
        </w:tc>
        <w:tc>
          <w:tcPr>
            <w:tcW w:w="6520" w:type="dxa"/>
          </w:tcPr>
          <w:p w14:paraId="4DD06FD8" w14:textId="6B7DB17B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Miyakawa N, Nishikawa M, Takahashi Y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al. 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Prolonged circulation half-life of interferon γ activity by gene delivery of interferon γ-serum albumin fusion protein in mice. J Pharm Sci. 2011;100(6):2350-7. </w:t>
            </w:r>
          </w:p>
        </w:tc>
      </w:tr>
      <w:tr w:rsidR="00C261F6" w:rsidRPr="00C261F6" w14:paraId="2084A31C" w14:textId="77777777" w:rsidTr="00C261F6">
        <w:tc>
          <w:tcPr>
            <w:tcW w:w="1271" w:type="dxa"/>
          </w:tcPr>
          <w:p w14:paraId="7D4A9D8A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VEGF</w:t>
            </w:r>
          </w:p>
        </w:tc>
        <w:tc>
          <w:tcPr>
            <w:tcW w:w="1418" w:type="dxa"/>
          </w:tcPr>
          <w:p w14:paraId="328AB098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30 minutes</w:t>
            </w:r>
          </w:p>
        </w:tc>
        <w:tc>
          <w:tcPr>
            <w:tcW w:w="6520" w:type="dxa"/>
          </w:tcPr>
          <w:p w14:paraId="0DA57BA2" w14:textId="3D19AE47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Simón-Yarza T, Formiga FR, Tamayo E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. Vascular endothelial growth factor-delivery systems for cardiac repair: an overview. Theranostics. 2012;2(6):541-52. </w:t>
            </w:r>
          </w:p>
        </w:tc>
      </w:tr>
      <w:tr w:rsidR="00C261F6" w:rsidRPr="00C261F6" w14:paraId="1B1D84A7" w14:textId="77777777" w:rsidTr="00C261F6">
        <w:tc>
          <w:tcPr>
            <w:tcW w:w="1271" w:type="dxa"/>
          </w:tcPr>
          <w:p w14:paraId="1B7237ED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MCP-1</w:t>
            </w:r>
          </w:p>
        </w:tc>
        <w:tc>
          <w:tcPr>
            <w:tcW w:w="1418" w:type="dxa"/>
          </w:tcPr>
          <w:p w14:paraId="07D82EE8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3 hours</w:t>
            </w:r>
          </w:p>
        </w:tc>
        <w:tc>
          <w:tcPr>
            <w:tcW w:w="6520" w:type="dxa"/>
          </w:tcPr>
          <w:p w14:paraId="0B8C296A" w14:textId="333A4801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</w:rPr>
              <w:t>Cheng J, Montserrat M, Encarnacion D</w:t>
            </w:r>
            <w:r>
              <w:rPr>
                <w:rFonts w:ascii="Arial" w:hAnsi="Arial" w:cs="Arial"/>
                <w:color w:val="FF0000"/>
              </w:rPr>
              <w:t xml:space="preserve"> et al</w:t>
            </w:r>
            <w:r w:rsidRPr="00C261F6">
              <w:rPr>
                <w:rFonts w:ascii="Arial" w:hAnsi="Arial" w:cs="Arial"/>
                <w:color w:val="FF0000"/>
              </w:rPr>
              <w:t>. Am J Physiol Cell Physiol 289: C959 –C970, 2005.</w:t>
            </w:r>
          </w:p>
        </w:tc>
      </w:tr>
      <w:tr w:rsidR="00C261F6" w:rsidRPr="00C261F6" w14:paraId="746DA108" w14:textId="77777777" w:rsidTr="00C261F6">
        <w:tc>
          <w:tcPr>
            <w:tcW w:w="1271" w:type="dxa"/>
          </w:tcPr>
          <w:p w14:paraId="5676B689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EGF</w:t>
            </w:r>
          </w:p>
        </w:tc>
        <w:tc>
          <w:tcPr>
            <w:tcW w:w="1418" w:type="dxa"/>
          </w:tcPr>
          <w:p w14:paraId="234584A1" w14:textId="77777777" w:rsidR="00C261F6" w:rsidRPr="00C261F6" w:rsidRDefault="00C261F6" w:rsidP="00542BD4">
            <w:pPr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8 minutes</w:t>
            </w:r>
          </w:p>
        </w:tc>
        <w:tc>
          <w:tcPr>
            <w:tcW w:w="6520" w:type="dxa"/>
          </w:tcPr>
          <w:p w14:paraId="3CFDECAE" w14:textId="496F6301" w:rsidR="00C261F6" w:rsidRPr="00C261F6" w:rsidRDefault="00C261F6" w:rsidP="00542BD4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>Calnan DP, Fagbemi A, Berlanga-Acosta J</w:t>
            </w:r>
            <w:r>
              <w:rPr>
                <w:rFonts w:ascii="Arial" w:hAnsi="Arial" w:cs="Arial"/>
                <w:color w:val="FF0000"/>
                <w:shd w:val="clear" w:color="auto" w:fill="FFFFFF"/>
              </w:rPr>
              <w:t>, et al.</w:t>
            </w:r>
            <w:r w:rsidRPr="00C261F6">
              <w:rPr>
                <w:rFonts w:ascii="Arial" w:hAnsi="Arial" w:cs="Arial"/>
                <w:color w:val="FF0000"/>
                <w:shd w:val="clear" w:color="auto" w:fill="FFFFFF"/>
              </w:rPr>
              <w:t xml:space="preserve"> Potency and stability of C terminal truncated human epidermal growth factor. Gut. 2000 Nov;47(5):622-7. </w:t>
            </w:r>
          </w:p>
        </w:tc>
      </w:tr>
    </w:tbl>
    <w:p w14:paraId="57863E25" w14:textId="77777777" w:rsidR="00C261F6" w:rsidRDefault="00C261F6" w:rsidP="00C261F6">
      <w:pPr>
        <w:rPr>
          <w:rFonts w:ascii="Arial" w:hAnsi="Arial" w:cs="Arial"/>
          <w:b/>
          <w:bCs/>
          <w:color w:val="FF0000"/>
          <w:sz w:val="24"/>
          <w:szCs w:val="24"/>
          <w:lang w:val="en-US"/>
        </w:rPr>
      </w:pPr>
    </w:p>
    <w:p w14:paraId="2CC7973C" w14:textId="44038EB3" w:rsidR="00C261F6" w:rsidRPr="00C261F6" w:rsidRDefault="00C261F6" w:rsidP="00C261F6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C261F6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Abbreviations:</w:t>
      </w:r>
      <w:r w:rsidRPr="00C261F6">
        <w:rPr>
          <w:rFonts w:ascii="Arial" w:hAnsi="Arial" w:cs="Arial"/>
          <w:color w:val="FF0000"/>
          <w:sz w:val="24"/>
          <w:szCs w:val="24"/>
          <w:lang w:val="en-US"/>
        </w:rPr>
        <w:t xml:space="preserve"> IL, interleukin; VEGF, vascular endothelial growth factor; IFN, interferon; TNF, tumor necrosis factor; MCP, monocyte chemoattractant protein; EGF, epidermal growth factor</w:t>
      </w:r>
    </w:p>
    <w:bookmarkEnd w:id="0"/>
    <w:p w14:paraId="59FE3EDB" w14:textId="77777777" w:rsidR="00C261F6" w:rsidRPr="00C261F6" w:rsidRDefault="00C261F6">
      <w:pPr>
        <w:rPr>
          <w:color w:val="FF0000"/>
          <w:lang w:val="en-US"/>
        </w:rPr>
      </w:pPr>
    </w:p>
    <w:sectPr w:rsidR="00C261F6" w:rsidRPr="00C26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C"/>
    <w:rsid w:val="002018C1"/>
    <w:rsid w:val="00376B4E"/>
    <w:rsid w:val="0038549F"/>
    <w:rsid w:val="003E47DA"/>
    <w:rsid w:val="004C070F"/>
    <w:rsid w:val="007304AE"/>
    <w:rsid w:val="008639DA"/>
    <w:rsid w:val="00940C12"/>
    <w:rsid w:val="0096634C"/>
    <w:rsid w:val="0097752F"/>
    <w:rsid w:val="009C65B1"/>
    <w:rsid w:val="00AE7CD7"/>
    <w:rsid w:val="00B067EB"/>
    <w:rsid w:val="00B424FB"/>
    <w:rsid w:val="00BB4A6B"/>
    <w:rsid w:val="00BC02EC"/>
    <w:rsid w:val="00C261F6"/>
    <w:rsid w:val="00CE348C"/>
    <w:rsid w:val="00D232CE"/>
    <w:rsid w:val="00D80EFE"/>
    <w:rsid w:val="00DE09F7"/>
    <w:rsid w:val="00E54608"/>
    <w:rsid w:val="00EC784A"/>
    <w:rsid w:val="00E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972E"/>
  <w15:chartTrackingRefBased/>
  <w15:docId w15:val="{9A0E8D2B-8C23-4CDD-BB1D-BA0D835D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34C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34C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2C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2CE"/>
    <w:rPr>
      <w:rFonts w:ascii="Segoe UI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Lumlertgul Nuttha</dc:creator>
  <cp:keywords/>
  <dc:description/>
  <cp:lastModifiedBy>Caroline Rubince G.</cp:lastModifiedBy>
  <cp:revision>10</cp:revision>
  <dcterms:created xsi:type="dcterms:W3CDTF">2021-01-02T23:18:00Z</dcterms:created>
  <dcterms:modified xsi:type="dcterms:W3CDTF">2021-01-21T12:18:00Z</dcterms:modified>
</cp:coreProperties>
</file>