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2C6" w:rsidRPr="00811771" w:rsidRDefault="00BA12C6" w:rsidP="00BA12C6">
      <w:pPr>
        <w:jc w:val="both"/>
        <w:rPr>
          <w:b/>
          <w:caps/>
          <w:lang w:val="en-GB"/>
        </w:rPr>
      </w:pPr>
      <w:r w:rsidRPr="00811771">
        <w:rPr>
          <w:b/>
          <w:caps/>
          <w:lang w:val="en-GB"/>
        </w:rPr>
        <w:t>Supplemental Material</w:t>
      </w:r>
    </w:p>
    <w:p w:rsidR="00BA12C6" w:rsidRDefault="00BA12C6" w:rsidP="00BA12C6">
      <w:pPr>
        <w:jc w:val="both"/>
        <w:rPr>
          <w:b/>
          <w:lang w:val="en-GB"/>
        </w:rPr>
      </w:pPr>
      <w:r w:rsidRPr="00811771">
        <w:rPr>
          <w:b/>
          <w:lang w:val="en-GB"/>
        </w:rPr>
        <w:t>SUPPLEMENTAL METHOD</w:t>
      </w:r>
      <w:r w:rsidRPr="00C26B38">
        <w:rPr>
          <w:b/>
          <w:lang w:val="en-GB"/>
        </w:rPr>
        <w:t>S</w:t>
      </w:r>
    </w:p>
    <w:p w:rsidR="00BA12C6" w:rsidRPr="00811771" w:rsidRDefault="00BA12C6" w:rsidP="00BA12C6">
      <w:pPr>
        <w:spacing w:line="480" w:lineRule="auto"/>
        <w:jc w:val="both"/>
        <w:rPr>
          <w:b/>
          <w:lang w:val="en-GB"/>
        </w:rPr>
      </w:pPr>
      <w:r w:rsidRPr="00811771">
        <w:rPr>
          <w:lang w:val="en-GB"/>
        </w:rPr>
        <w:t>To select the meta-analysis model with the appropriate degree of heterogeneity in baseline risk and predictor effect, we fo</w:t>
      </w:r>
      <w:bookmarkStart w:id="0" w:name="_GoBack"/>
      <w:bookmarkEnd w:id="0"/>
      <w:r w:rsidRPr="00811771">
        <w:rPr>
          <w:lang w:val="en-GB"/>
        </w:rPr>
        <w:t xml:space="preserve">llowed the approach proposed by </w:t>
      </w:r>
      <w:proofErr w:type="spellStart"/>
      <w:r w:rsidRPr="00811771">
        <w:rPr>
          <w:lang w:val="en-GB"/>
        </w:rPr>
        <w:t>Steyerberg</w:t>
      </w:r>
      <w:proofErr w:type="spellEnd"/>
      <w:r w:rsidRPr="00811771">
        <w:rPr>
          <w:lang w:val="en-GB"/>
        </w:rPr>
        <w:t xml:space="preserve"> </w:t>
      </w:r>
      <w:r w:rsidRPr="00323886">
        <w:rPr>
          <w:i/>
          <w:lang w:val="en-GB"/>
        </w:rPr>
        <w:t>et al</w:t>
      </w:r>
      <w:r w:rsidRPr="00C26B38">
        <w:rPr>
          <w:lang w:val="en-GB"/>
        </w:rPr>
        <w:t>.</w:t>
      </w:r>
      <w:r w:rsidRPr="00811771">
        <w:rPr>
          <w:lang w:val="en-GB"/>
        </w:rPr>
        <w:t xml:space="preserve"> </w:t>
      </w:r>
      <w:r w:rsidRPr="00811771">
        <w:rPr>
          <w:lang w:val="en-GB"/>
        </w:rPr>
        <w:fldChar w:fldCharType="begin"/>
      </w:r>
      <w:r>
        <w:rPr>
          <w:lang w:val="en-GB"/>
        </w:rPr>
        <w:instrText xml:space="preserve"> ADDIN EN.CITE &lt;EndNote&gt;&lt;Cite&gt;&lt;Author&gt;Steyerberg&lt;/Author&gt;&lt;Year&gt;2019&lt;/Year&gt;&lt;RecNum&gt;31&lt;/RecNum&gt;&lt;DisplayText&gt;(12)&lt;/DisplayText&gt;&lt;record&gt;&lt;rec-number&gt;31&lt;/rec-number&gt;&lt;foreign-keys&gt;&lt;key app="EN" db-id="0tf05r2vos22z4efaesx55vtpx9vw9tvvzdt" timestamp="1594829378"&gt;31&lt;/key&gt;&lt;/foreign-keys&gt;&lt;ref-type name="Journal Article"&gt;17&lt;/ref-type&gt;&lt;contributors&gt;&lt;authors&gt;&lt;author&gt;Steyerberg, E. W.&lt;/author&gt;&lt;author&gt;Nieboer, D.&lt;/author&gt;&lt;author&gt;Debray, T. P. A.&lt;/author&gt;&lt;author&gt;van Houwelingen, H. C.&lt;/author&gt;&lt;/authors&gt;&lt;/contributors&gt;&lt;auth-address&gt;Department of Biomedical Data Sciences, Leiden University Medical Center, Leiden, The Netherlands.&amp;#xD;Department of Public Health, Erasmus MC, Rotterdam, The Netherlands.&amp;#xD;Julius Center for Health Sciences and Primary Care, Utrecht University Medical Center, Utrecht, The Netherlands.&amp;#xD;Cochrane Netherlands, University Medical Center Utrecht, Utrecht, The Netherlands.&lt;/auth-address&gt;&lt;titles&gt;&lt;title&gt;Assessment of heterogeneity in an individual participant data meta-analysis of prediction models: An overview and illustration&lt;/title&gt;&lt;secondary-title&gt;Stat Med&lt;/secondary-title&gt;&lt;alt-title&gt;Statistics in medicine&lt;/alt-title&gt;&lt;/titles&gt;&lt;periodical&gt;&lt;full-title&gt;Stat Med&lt;/full-title&gt;&lt;abbr-1&gt;Statistics in medicine&lt;/abbr-1&gt;&lt;/periodical&gt;&lt;alt-periodical&gt;&lt;full-title&gt;Stat Med&lt;/full-title&gt;&lt;abbr-1&gt;Statistics in medicine&lt;/abbr-1&gt;&lt;/alt-periodical&gt;&lt;pages&gt;4290-4309&lt;/pages&gt;&lt;volume&gt;38&lt;/volume&gt;&lt;number&gt;22&lt;/number&gt;&lt;edition&gt;2019/08/03&lt;/edition&gt;&lt;keywords&gt;&lt;keyword&gt;*heterogeneity&lt;/keyword&gt;&lt;keyword&gt;*meta-analysis&lt;/keyword&gt;&lt;keyword&gt;*prediction&lt;/keyword&gt;&lt;keyword&gt;*regression modeling&lt;/keyword&gt;&lt;/keywords&gt;&lt;dates&gt;&lt;year&gt;2019&lt;/year&gt;&lt;pub-dates&gt;&lt;date&gt;Sep 30&lt;/date&gt;&lt;/pub-dates&gt;&lt;/dates&gt;&lt;isbn&gt;0277-6715 (Print)&amp;#xD;0277-6715&lt;/isbn&gt;&lt;accession-num&gt;31373722&lt;/accession-num&gt;&lt;urls&gt;&lt;/urls&gt;&lt;custom2&gt;Pmc6772012&lt;/custom2&gt;&lt;electronic-resource-num&gt;10.1002/sim.8296&lt;/electronic-resource-num&gt;&lt;remote-database-provider&gt;NLM&lt;/remote-database-provider&gt;&lt;language&gt;eng&lt;/language&gt;&lt;/record&gt;&lt;/Cite&gt;&lt;/EndNote&gt;</w:instrText>
      </w:r>
      <w:r w:rsidRPr="00811771">
        <w:rPr>
          <w:lang w:val="en-GB"/>
        </w:rPr>
        <w:fldChar w:fldCharType="separate"/>
      </w:r>
      <w:r>
        <w:rPr>
          <w:noProof/>
          <w:lang w:val="en-GB"/>
        </w:rPr>
        <w:t>(12)</w:t>
      </w:r>
      <w:r w:rsidRPr="00811771">
        <w:rPr>
          <w:lang w:val="en-GB"/>
        </w:rPr>
        <w:fldChar w:fldCharType="end"/>
      </w:r>
      <w:r>
        <w:rPr>
          <w:lang w:val="en-GB"/>
        </w:rPr>
        <w:t xml:space="preserve"> and evaluated the following three models (Supplemental Table 4 and 5).</w:t>
      </w:r>
    </w:p>
    <w:p w:rsidR="00BA12C6" w:rsidRPr="00811771" w:rsidRDefault="00BA12C6" w:rsidP="00BA12C6">
      <w:pPr>
        <w:pStyle w:val="Heading2"/>
        <w:numPr>
          <w:ilvl w:val="0"/>
          <w:numId w:val="1"/>
        </w:numPr>
        <w:rPr>
          <w:rFonts w:ascii="Arial" w:hAnsi="Arial" w:cs="Arial"/>
          <w:b/>
          <w:i/>
          <w:color w:val="auto"/>
          <w:sz w:val="22"/>
          <w:szCs w:val="22"/>
          <w:lang w:val="en-GB"/>
        </w:rPr>
      </w:pPr>
      <w:r>
        <w:rPr>
          <w:rFonts w:ascii="Arial" w:hAnsi="Arial" w:cs="Arial"/>
          <w:b/>
          <w:i/>
          <w:color w:val="auto"/>
          <w:sz w:val="22"/>
          <w:szCs w:val="22"/>
          <w:lang w:val="en-GB"/>
        </w:rPr>
        <w:t>‘F</w:t>
      </w:r>
      <w:r w:rsidRPr="00811771">
        <w:rPr>
          <w:rFonts w:ascii="Arial" w:hAnsi="Arial" w:cs="Arial"/>
          <w:b/>
          <w:i/>
          <w:color w:val="auto"/>
          <w:sz w:val="22"/>
          <w:szCs w:val="22"/>
          <w:lang w:val="en-GB"/>
        </w:rPr>
        <w:t>ully stratified</w:t>
      </w:r>
      <w:r>
        <w:rPr>
          <w:rFonts w:ascii="Arial" w:hAnsi="Arial" w:cs="Arial"/>
          <w:b/>
          <w:i/>
          <w:color w:val="auto"/>
          <w:sz w:val="22"/>
          <w:szCs w:val="22"/>
          <w:lang w:val="en-GB"/>
        </w:rPr>
        <w:t>’</w:t>
      </w:r>
      <w:r w:rsidRPr="00811771">
        <w:rPr>
          <w:rFonts w:ascii="Arial" w:hAnsi="Arial" w:cs="Arial"/>
          <w:b/>
          <w:i/>
          <w:color w:val="auto"/>
          <w:sz w:val="22"/>
          <w:szCs w:val="22"/>
          <w:lang w:val="en-GB"/>
        </w:rPr>
        <w:t xml:space="preserve"> </w:t>
      </w:r>
      <w:r>
        <w:rPr>
          <w:rFonts w:ascii="Arial" w:hAnsi="Arial" w:cs="Arial"/>
          <w:b/>
          <w:i/>
          <w:color w:val="auto"/>
          <w:sz w:val="22"/>
          <w:szCs w:val="22"/>
          <w:lang w:val="en-GB"/>
        </w:rPr>
        <w:t xml:space="preserve">random-effect </w:t>
      </w:r>
      <w:r w:rsidRPr="00811771">
        <w:rPr>
          <w:rFonts w:ascii="Arial" w:hAnsi="Arial" w:cs="Arial"/>
          <w:b/>
          <w:i/>
          <w:color w:val="auto"/>
          <w:sz w:val="22"/>
          <w:szCs w:val="22"/>
          <w:lang w:val="en-GB"/>
        </w:rPr>
        <w:t>model.</w:t>
      </w:r>
    </w:p>
    <w:p w:rsidR="00BA12C6" w:rsidRPr="00811771" w:rsidRDefault="00BA12C6" w:rsidP="00BA12C6">
      <w:pPr>
        <w:pStyle w:val="FirstParagraph"/>
        <w:rPr>
          <w:rFonts w:ascii="Arial" w:hAnsi="Arial" w:cs="Arial"/>
          <w:sz w:val="22"/>
          <w:szCs w:val="22"/>
          <w:lang w:val="en-GB"/>
        </w:rPr>
      </w:pPr>
      <w:r w:rsidRPr="00811771">
        <w:rPr>
          <w:rFonts w:ascii="Arial" w:hAnsi="Arial" w:cs="Arial"/>
          <w:sz w:val="22"/>
          <w:szCs w:val="22"/>
          <w:lang w:val="en-GB"/>
        </w:rPr>
        <w:t xml:space="preserve">The infection status of subject </w:t>
      </w:r>
      <m:oMath>
        <m:r>
          <w:rPr>
            <w:rFonts w:ascii="Cambria Math" w:hAnsi="Cambria Math" w:cs="Arial"/>
            <w:sz w:val="22"/>
            <w:szCs w:val="22"/>
            <w:lang w:val="en-GB"/>
          </w:rPr>
          <m:t>i</m:t>
        </m:r>
      </m:oMath>
      <w:r w:rsidRPr="00811771">
        <w:rPr>
          <w:rFonts w:ascii="Arial" w:hAnsi="Arial" w:cs="Arial"/>
          <w:sz w:val="22"/>
          <w:szCs w:val="22"/>
          <w:lang w:val="en-GB"/>
        </w:rPr>
        <w:t xml:space="preserve"> from study </w:t>
      </w:r>
      <m:oMath>
        <m:r>
          <w:rPr>
            <w:rFonts w:ascii="Cambria Math" w:hAnsi="Cambria Math" w:cs="Arial"/>
            <w:sz w:val="22"/>
            <w:szCs w:val="22"/>
            <w:lang w:val="en-GB"/>
          </w:rPr>
          <m:t>j</m:t>
        </m:r>
      </m:oMath>
      <w:r w:rsidRPr="00811771">
        <w:rPr>
          <w:rFonts w:ascii="Arial" w:hAnsi="Arial" w:cs="Arial"/>
          <w:sz w:val="22"/>
          <w:szCs w:val="22"/>
          <w:lang w:val="en-GB"/>
        </w:rPr>
        <w:t xml:space="preserve"> follows a Bernoulli distribution:</w:t>
      </w:r>
    </w:p>
    <w:p w:rsidR="00BA12C6" w:rsidRPr="00811771" w:rsidRDefault="000C32E0" w:rsidP="00BA12C6">
      <w:pPr>
        <w:pStyle w:val="BodyText"/>
        <w:rPr>
          <w:rFonts w:ascii="Arial" w:hAnsi="Arial" w:cs="Arial"/>
          <w:sz w:val="22"/>
          <w:szCs w:val="22"/>
          <w:lang w:val="en-GB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Arial"/>
                  <w:sz w:val="22"/>
                  <w:szCs w:val="22"/>
                  <w:lang w:val="en-GB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Arial"/>
                  <w:sz w:val="22"/>
                  <w:szCs w:val="22"/>
                  <w:lang w:val="en-GB"/>
                </w:rPr>
                <m:t>infection_status</m:t>
              </m:r>
            </m:e>
            <m:sub>
              <m:r>
                <w:rPr>
                  <w:rFonts w:ascii="Cambria Math" w:hAnsi="Cambria Math" w:cs="Arial"/>
                  <w:sz w:val="22"/>
                  <w:szCs w:val="22"/>
                  <w:lang w:val="en-GB"/>
                </w:rPr>
                <m:t>ij</m:t>
              </m:r>
            </m:sub>
          </m:sSub>
          <m:r>
            <w:rPr>
              <w:rFonts w:ascii="Cambria Math" w:hAnsi="Cambria Math" w:cs="Arial"/>
              <w:sz w:val="22"/>
              <w:szCs w:val="22"/>
              <w:lang w:val="en-GB"/>
            </w:rPr>
            <m:t>∼</m:t>
          </m:r>
          <m:r>
            <m:rPr>
              <m:sty m:val="p"/>
            </m:rPr>
            <w:rPr>
              <w:rFonts w:ascii="Cambria Math" w:hAnsi="Cambria Math" w:cs="Arial"/>
              <w:sz w:val="22"/>
              <w:szCs w:val="22"/>
              <w:lang w:val="en-GB"/>
            </w:rPr>
            <m:t>Bernoulli</m:t>
          </m:r>
          <m:r>
            <w:rPr>
              <w:rFonts w:ascii="Cambria Math" w:hAnsi="Cambria Math" w:cs="Arial"/>
              <w:sz w:val="22"/>
              <w:szCs w:val="22"/>
              <w:lang w:val="en-GB"/>
            </w:rPr>
            <m:t>(</m:t>
          </m:r>
          <m:sSub>
            <m:sSubPr>
              <m:ctrlPr>
                <w:rPr>
                  <w:rFonts w:ascii="Cambria Math" w:hAnsi="Cambria Math" w:cs="Arial"/>
                  <w:sz w:val="22"/>
                  <w:szCs w:val="22"/>
                  <w:lang w:val="en-GB"/>
                </w:rPr>
              </m:ctrlPr>
            </m:sSubPr>
            <m:e>
              <m:r>
                <w:rPr>
                  <w:rFonts w:ascii="Cambria Math" w:hAnsi="Cambria Math" w:cs="Arial"/>
                  <w:sz w:val="22"/>
                  <w:szCs w:val="22"/>
                  <w:lang w:val="en-GB"/>
                </w:rPr>
                <m:t>p</m:t>
              </m:r>
            </m:e>
            <m:sub>
              <m:r>
                <w:rPr>
                  <w:rFonts w:ascii="Cambria Math" w:hAnsi="Cambria Math" w:cs="Arial"/>
                  <w:sz w:val="22"/>
                  <w:szCs w:val="22"/>
                  <w:lang w:val="en-GB"/>
                </w:rPr>
                <m:t>ij</m:t>
              </m:r>
            </m:sub>
          </m:sSub>
          <m:r>
            <w:rPr>
              <w:rFonts w:ascii="Cambria Math" w:hAnsi="Cambria Math" w:cs="Arial"/>
              <w:sz w:val="22"/>
              <w:szCs w:val="22"/>
              <w:lang w:val="en-GB"/>
            </w:rPr>
            <m:t>)</m:t>
          </m:r>
        </m:oMath>
      </m:oMathPara>
    </w:p>
    <w:p w:rsidR="00BA12C6" w:rsidRPr="00811771" w:rsidRDefault="00BA12C6" w:rsidP="00BA12C6">
      <w:pPr>
        <w:pStyle w:val="FirstParagraph"/>
        <w:rPr>
          <w:sz w:val="22"/>
          <w:szCs w:val="22"/>
          <w:lang w:val="en-GB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GB"/>
            </w:rPr>
            <m:t>logit</m:t>
          </m:r>
          <m:r>
            <w:rPr>
              <w:rFonts w:ascii="Cambria Math" w:hAnsi="Cambria Math"/>
              <w:sz w:val="22"/>
              <w:szCs w:val="22"/>
              <w:lang w:val="en-GB"/>
            </w:rPr>
            <m:t> 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  <w:lang w:val="en-GB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GB"/>
                </w:rPr>
                <m:t>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GB"/>
                </w:rPr>
                <m:t>ij</m:t>
              </m:r>
            </m:sub>
          </m:sSub>
          <m:r>
            <w:rPr>
              <w:rFonts w:ascii="Cambria Math" w:hAnsi="Cambria Math"/>
              <w:sz w:val="22"/>
              <w:szCs w:val="22"/>
              <w:lang w:val="en-GB"/>
            </w:rPr>
            <m:t>=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  <w:lang w:val="en-GB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GB"/>
                </w:rPr>
                <m:t>α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GB"/>
                </w:rPr>
                <m:t>j</m:t>
              </m:r>
            </m:sub>
          </m:sSub>
          <m:r>
            <w:rPr>
              <w:rFonts w:ascii="Cambria Math" w:hAnsi="Cambria Math"/>
              <w:sz w:val="22"/>
              <w:szCs w:val="22"/>
              <w:lang w:val="en-GB"/>
            </w:rPr>
            <m:t>+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  <w:lang w:val="en-GB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GB"/>
                </w:rPr>
                <m:t>β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GB"/>
                </w:rPr>
                <m:t>j</m:t>
              </m:r>
            </m:sub>
          </m:sSub>
          <m:r>
            <w:rPr>
              <w:rFonts w:ascii="Cambria Math" w:hAnsi="Cambria Math"/>
              <w:sz w:val="22"/>
              <w:szCs w:val="22"/>
              <w:lang w:val="en-GB"/>
            </w:rPr>
            <m:t> 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  <w:lang w:val="en-GB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GB"/>
                </w:rPr>
                <m:t>PSP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GB"/>
                </w:rPr>
                <m:t>ij</m:t>
              </m:r>
            </m:sub>
          </m:sSub>
        </m:oMath>
      </m:oMathPara>
    </w:p>
    <w:p w:rsidR="00BA12C6" w:rsidRPr="00811771" w:rsidRDefault="000C32E0" w:rsidP="00BA12C6">
      <w:pPr>
        <w:pStyle w:val="FirstParagraph"/>
        <w:rPr>
          <w:sz w:val="22"/>
          <w:szCs w:val="22"/>
          <w:lang w:val="en-GB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sz w:val="22"/>
                  <w:szCs w:val="22"/>
                  <w:lang w:val="en-GB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GB"/>
                </w:rPr>
                <m:t>α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GB"/>
                </w:rPr>
                <m:t>j</m:t>
              </m:r>
            </m:sub>
          </m:sSub>
          <m:r>
            <w:rPr>
              <w:rFonts w:ascii="Cambria Math" w:hAnsi="Cambria Math"/>
              <w:sz w:val="22"/>
              <w:szCs w:val="22"/>
              <w:lang w:val="en-GB"/>
            </w:rPr>
            <m:t>,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  <w:lang w:val="en-GB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GB"/>
                </w:rPr>
                <m:t>β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GB"/>
                </w:rPr>
                <m:t>j</m:t>
              </m:r>
            </m:sub>
          </m:sSub>
          <m:r>
            <w:rPr>
              <w:rFonts w:ascii="Cambria Math" w:hAnsi="Cambria Math"/>
              <w:sz w:val="22"/>
              <w:szCs w:val="22"/>
              <w:lang w:val="en-GB"/>
            </w:rPr>
            <m:t>∼MVN(μ,T).</m:t>
          </m:r>
        </m:oMath>
      </m:oMathPara>
    </w:p>
    <w:p w:rsidR="00BA12C6" w:rsidRPr="00811771" w:rsidRDefault="00BA12C6" w:rsidP="00BA12C6">
      <w:pPr>
        <w:pStyle w:val="FirstParagraph"/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811771">
        <w:rPr>
          <w:rFonts w:ascii="Arial" w:hAnsi="Arial" w:cs="Arial"/>
          <w:sz w:val="22"/>
          <w:szCs w:val="22"/>
          <w:lang w:val="en-GB"/>
        </w:rPr>
        <w:t xml:space="preserve">The model </w:t>
      </w:r>
      <w:r>
        <w:rPr>
          <w:rFonts w:ascii="Arial" w:hAnsi="Arial" w:cs="Arial"/>
          <w:sz w:val="22"/>
          <w:szCs w:val="22"/>
          <w:lang w:val="en-GB"/>
        </w:rPr>
        <w:t>is</w:t>
      </w:r>
      <w:r w:rsidRPr="00811771">
        <w:rPr>
          <w:rFonts w:ascii="Arial" w:hAnsi="Arial" w:cs="Arial"/>
          <w:sz w:val="22"/>
          <w:szCs w:val="22"/>
          <w:lang w:val="en-GB"/>
        </w:rPr>
        <w:t xml:space="preserve"> fit in two stages. First, a logistic regression model</w:t>
      </w:r>
      <w:r>
        <w:rPr>
          <w:rFonts w:ascii="Arial" w:hAnsi="Arial" w:cs="Arial"/>
          <w:sz w:val="22"/>
          <w:szCs w:val="22"/>
          <w:lang w:val="en-GB"/>
        </w:rPr>
        <w:t xml:space="preserve"> is fitted</w:t>
      </w:r>
      <w:r w:rsidRPr="00811771">
        <w:rPr>
          <w:rFonts w:ascii="Arial" w:hAnsi="Arial" w:cs="Arial"/>
          <w:sz w:val="22"/>
          <w:szCs w:val="22"/>
          <w:lang w:val="en-GB"/>
        </w:rPr>
        <w:t xml:space="preserve"> in every study separately, yielding study-specific estimates</w:t>
      </w:r>
      <w:r w:rsidRPr="00811771">
        <w:rPr>
          <w:sz w:val="22"/>
          <w:szCs w:val="22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  <w:lang w:val="en-GB"/>
              </w:rPr>
            </m:ctrlPr>
          </m:sSubPr>
          <m:e>
            <m:groupChr>
              <m:groupChrPr>
                <m:chr m:val="^"/>
                <m:pos m:val="top"/>
                <m:vertJc m:val="bot"/>
                <m:ctrlPr>
                  <w:rPr>
                    <w:rFonts w:ascii="Cambria Math" w:hAnsi="Cambria Math"/>
                    <w:sz w:val="22"/>
                    <w:szCs w:val="22"/>
                    <w:lang w:val="en-GB"/>
                  </w:rPr>
                </m:ctrlPr>
              </m:groupChrPr>
              <m:e>
                <m:r>
                  <w:rPr>
                    <w:rFonts w:ascii="Cambria Math" w:hAnsi="Cambria Math"/>
                    <w:sz w:val="22"/>
                    <w:szCs w:val="22"/>
                    <w:lang w:val="en-GB"/>
                  </w:rPr>
                  <m:t>α</m:t>
                </m:r>
              </m:e>
            </m:groupChr>
          </m:e>
          <m:sub>
            <m:r>
              <w:rPr>
                <w:rFonts w:ascii="Cambria Math" w:hAnsi="Cambria Math"/>
                <w:sz w:val="22"/>
                <w:szCs w:val="22"/>
                <w:lang w:val="en-GB"/>
              </w:rPr>
              <m:t>j</m:t>
            </m:r>
          </m:sub>
        </m:sSub>
      </m:oMath>
      <w:r w:rsidRPr="00811771">
        <w:rPr>
          <w:sz w:val="22"/>
          <w:szCs w:val="22"/>
          <w:lang w:val="en-GB"/>
        </w:rPr>
        <w:t xml:space="preserve"> </w:t>
      </w:r>
      <w:r w:rsidRPr="00811771">
        <w:rPr>
          <w:rFonts w:ascii="Arial" w:hAnsi="Arial" w:cs="Arial"/>
          <w:sz w:val="22"/>
          <w:szCs w:val="22"/>
          <w:lang w:val="en-GB"/>
        </w:rPr>
        <w:t>and</w:t>
      </w:r>
      <w:r w:rsidRPr="00811771">
        <w:rPr>
          <w:sz w:val="22"/>
          <w:szCs w:val="22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  <w:lang w:val="en-GB"/>
              </w:rPr>
            </m:ctrlPr>
          </m:sSubPr>
          <m:e>
            <m:groupChr>
              <m:groupChrPr>
                <m:chr m:val="^"/>
                <m:pos m:val="top"/>
                <m:vertJc m:val="bot"/>
                <m:ctrlPr>
                  <w:rPr>
                    <w:rFonts w:ascii="Cambria Math" w:hAnsi="Cambria Math"/>
                    <w:sz w:val="22"/>
                    <w:szCs w:val="22"/>
                    <w:lang w:val="en-GB"/>
                  </w:rPr>
                </m:ctrlPr>
              </m:groupChrPr>
              <m:e>
                <m:r>
                  <w:rPr>
                    <w:rFonts w:ascii="Cambria Math" w:hAnsi="Cambria Math"/>
                    <w:sz w:val="22"/>
                    <w:szCs w:val="22"/>
                    <w:lang w:val="en-GB"/>
                  </w:rPr>
                  <m:t>β</m:t>
                </m:r>
              </m:e>
            </m:groupChr>
          </m:e>
          <m:sub>
            <m:r>
              <w:rPr>
                <w:rFonts w:ascii="Cambria Math" w:hAnsi="Cambria Math"/>
                <w:sz w:val="22"/>
                <w:szCs w:val="22"/>
                <w:lang w:val="en-GB"/>
              </w:rPr>
              <m:t>j</m:t>
            </m:r>
          </m:sub>
        </m:sSub>
      </m:oMath>
      <w:r w:rsidRPr="00811771">
        <w:rPr>
          <w:sz w:val="22"/>
          <w:szCs w:val="22"/>
          <w:lang w:val="en-GB"/>
        </w:rPr>
        <w:t xml:space="preserve"> </w:t>
      </w:r>
      <w:r w:rsidRPr="00811771">
        <w:rPr>
          <w:rFonts w:ascii="Arial" w:hAnsi="Arial" w:cs="Arial"/>
          <w:sz w:val="22"/>
          <w:szCs w:val="22"/>
          <w:lang w:val="en-GB"/>
        </w:rPr>
        <w:t xml:space="preserve">(Supplemental Figure 2, Supplemental Table 5A and Supplemental Table 6). The </w:t>
      </w:r>
      <w:r>
        <w:rPr>
          <w:rFonts w:ascii="Arial" w:hAnsi="Arial" w:cs="Arial"/>
          <w:sz w:val="22"/>
          <w:szCs w:val="22"/>
          <w:lang w:val="en-GB"/>
        </w:rPr>
        <w:t>individual patient data allows</w:t>
      </w:r>
      <w:r w:rsidRPr="00811771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>the computation of</w:t>
      </w:r>
      <w:r w:rsidRPr="00811771">
        <w:rPr>
          <w:rFonts w:ascii="Arial" w:hAnsi="Arial" w:cs="Arial"/>
          <w:sz w:val="22"/>
          <w:szCs w:val="22"/>
          <w:lang w:val="en-GB"/>
        </w:rPr>
        <w:t xml:space="preserve"> </w:t>
      </w:r>
      <m:oMath>
        <m:r>
          <w:rPr>
            <w:rFonts w:ascii="Cambria Math" w:hAnsi="Cambria Math" w:cs="Arial"/>
            <w:sz w:val="22"/>
            <w:szCs w:val="22"/>
            <w:lang w:val="en-GB"/>
          </w:rPr>
          <m:t>S</m:t>
        </m:r>
      </m:oMath>
      <w:r w:rsidRPr="00811771">
        <w:rPr>
          <w:rFonts w:ascii="Arial" w:hAnsi="Arial" w:cs="Arial"/>
          <w:sz w:val="22"/>
          <w:szCs w:val="22"/>
          <w:lang w:val="en-GB"/>
        </w:rPr>
        <w:t xml:space="preserve">- the full within-study covariance matrix </w:t>
      </w:r>
      <w:proofErr w:type="spellStart"/>
      <w:r w:rsidRPr="00811771">
        <w:rPr>
          <w:rFonts w:ascii="Arial" w:hAnsi="Arial" w:cs="Arial"/>
          <w:sz w:val="22"/>
          <w:szCs w:val="22"/>
          <w:lang w:val="en-GB"/>
        </w:rPr>
        <w:t>of</w:t>
      </w:r>
      <w:proofErr w:type="spellEnd"/>
      <w:r w:rsidRPr="00811771">
        <w:rPr>
          <w:rFonts w:ascii="Arial" w:hAnsi="Arial" w:cs="Arial"/>
          <w:sz w:val="22"/>
          <w:szCs w:val="22"/>
          <w:lang w:val="en-GB"/>
        </w:rPr>
        <w:t xml:space="preserve"> the estimates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  <w:lang w:val="en-GB"/>
              </w:rPr>
            </m:ctrlPr>
          </m:sSubPr>
          <m:e>
            <m:groupChr>
              <m:groupChrPr>
                <m:chr m:val="^"/>
                <m:pos m:val="top"/>
                <m:vertJc m:val="bot"/>
                <m:ctrlPr>
                  <w:rPr>
                    <w:rFonts w:ascii="Cambria Math" w:hAnsi="Cambria Math"/>
                    <w:sz w:val="22"/>
                    <w:szCs w:val="22"/>
                    <w:lang w:val="en-GB"/>
                  </w:rPr>
                </m:ctrlPr>
              </m:groupChrPr>
              <m:e>
                <m:r>
                  <w:rPr>
                    <w:rFonts w:ascii="Cambria Math" w:hAnsi="Cambria Math"/>
                    <w:sz w:val="22"/>
                    <w:szCs w:val="22"/>
                    <w:lang w:val="en-GB"/>
                  </w:rPr>
                  <m:t>α</m:t>
                </m:r>
              </m:e>
            </m:groupChr>
          </m:e>
          <m:sub>
            <m:r>
              <w:rPr>
                <w:rFonts w:ascii="Cambria Math" w:hAnsi="Cambria Math"/>
                <w:sz w:val="22"/>
                <w:szCs w:val="22"/>
                <w:lang w:val="en-GB"/>
              </w:rPr>
              <m:t>j</m:t>
            </m:r>
          </m:sub>
        </m:sSub>
      </m:oMath>
      <w:r w:rsidRPr="00811771">
        <w:rPr>
          <w:sz w:val="22"/>
          <w:szCs w:val="22"/>
          <w:lang w:val="en-GB"/>
        </w:rPr>
        <w:t xml:space="preserve"> </w:t>
      </w:r>
      <w:proofErr w:type="gramStart"/>
      <w:r w:rsidRPr="00811771">
        <w:rPr>
          <w:rFonts w:ascii="Arial" w:hAnsi="Arial" w:cs="Arial"/>
          <w:sz w:val="22"/>
          <w:szCs w:val="22"/>
          <w:lang w:val="en-GB"/>
        </w:rPr>
        <w:t>and</w:t>
      </w:r>
      <w:r w:rsidRPr="00811771">
        <w:rPr>
          <w:sz w:val="22"/>
          <w:szCs w:val="22"/>
          <w:lang w:val="en-GB"/>
        </w:rPr>
        <w:t xml:space="preserve"> </w:t>
      </w:r>
      <w:proofErr w:type="gramEnd"/>
      <m:oMath>
        <m:sSub>
          <m:sSubPr>
            <m:ctrlPr>
              <w:rPr>
                <w:rFonts w:ascii="Cambria Math" w:hAnsi="Cambria Math"/>
                <w:sz w:val="22"/>
                <w:szCs w:val="22"/>
                <w:lang w:val="en-GB"/>
              </w:rPr>
            </m:ctrlPr>
          </m:sSubPr>
          <m:e>
            <m:groupChr>
              <m:groupChrPr>
                <m:chr m:val="^"/>
                <m:pos m:val="top"/>
                <m:vertJc m:val="bot"/>
                <m:ctrlPr>
                  <w:rPr>
                    <w:rFonts w:ascii="Cambria Math" w:hAnsi="Cambria Math"/>
                    <w:sz w:val="22"/>
                    <w:szCs w:val="22"/>
                    <w:lang w:val="en-GB"/>
                  </w:rPr>
                </m:ctrlPr>
              </m:groupChrPr>
              <m:e>
                <m:r>
                  <w:rPr>
                    <w:rFonts w:ascii="Cambria Math" w:hAnsi="Cambria Math"/>
                    <w:sz w:val="22"/>
                    <w:szCs w:val="22"/>
                    <w:lang w:val="en-GB"/>
                  </w:rPr>
                  <m:t>β</m:t>
                </m:r>
              </m:e>
            </m:groupChr>
          </m:e>
          <m:sub>
            <m:r>
              <w:rPr>
                <w:rFonts w:ascii="Cambria Math" w:hAnsi="Cambria Math"/>
                <w:sz w:val="22"/>
                <w:szCs w:val="22"/>
                <w:lang w:val="en-GB"/>
              </w:rPr>
              <m:t>j</m:t>
            </m:r>
          </m:sub>
        </m:sSub>
      </m:oMath>
      <w:r w:rsidRPr="00811771">
        <w:rPr>
          <w:sz w:val="22"/>
          <w:szCs w:val="22"/>
          <w:lang w:val="en-GB"/>
        </w:rPr>
        <w:t xml:space="preserve">. </w:t>
      </w:r>
      <w:r w:rsidRPr="00811771">
        <w:rPr>
          <w:rFonts w:ascii="Arial" w:hAnsi="Arial" w:cs="Arial"/>
          <w:sz w:val="22"/>
          <w:szCs w:val="22"/>
          <w:lang w:val="en-GB"/>
        </w:rPr>
        <w:t>The parameters of the global prediction model are estimated from the model</w:t>
      </w:r>
    </w:p>
    <w:p w:rsidR="00BA12C6" w:rsidRPr="00811771" w:rsidRDefault="000C32E0" w:rsidP="00BA12C6">
      <w:pPr>
        <w:pStyle w:val="FirstParagraph"/>
        <w:spacing w:line="360" w:lineRule="auto"/>
        <w:jc w:val="center"/>
        <w:rPr>
          <w:sz w:val="22"/>
          <w:szCs w:val="22"/>
          <w:lang w:val="en-GB"/>
        </w:rPr>
      </w:pPr>
      <m:oMath>
        <m:sSub>
          <m:sSubPr>
            <m:ctrlPr>
              <w:rPr>
                <w:rFonts w:ascii="Cambria Math" w:hAnsi="Cambria Math"/>
                <w:sz w:val="22"/>
                <w:szCs w:val="22"/>
                <w:lang w:val="en-GB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GB"/>
              </w:rPr>
              <m:t>α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GB"/>
              </w:rPr>
              <m:t>j</m:t>
            </m:r>
          </m:sub>
        </m:sSub>
        <m:r>
          <w:rPr>
            <w:rFonts w:ascii="Cambria Math" w:hAnsi="Cambria Math"/>
            <w:sz w:val="22"/>
            <w:szCs w:val="22"/>
            <w:lang w:val="en-GB"/>
          </w:rPr>
          <m:t>,</m:t>
        </m:r>
        <m:sSub>
          <m:sSubPr>
            <m:ctrlPr>
              <w:rPr>
                <w:rFonts w:ascii="Cambria Math" w:hAnsi="Cambria Math"/>
                <w:sz w:val="22"/>
                <w:szCs w:val="22"/>
                <w:lang w:val="en-GB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GB"/>
              </w:rPr>
              <m:t>β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GB"/>
              </w:rPr>
              <m:t>j</m:t>
            </m:r>
          </m:sub>
        </m:sSub>
        <m:r>
          <w:rPr>
            <w:rFonts w:ascii="Cambria Math" w:hAnsi="Cambria Math"/>
            <w:sz w:val="22"/>
            <w:szCs w:val="22"/>
            <w:lang w:val="en-GB"/>
          </w:rPr>
          <m:t>∼MVN(μ,T+S)</m:t>
        </m:r>
      </m:oMath>
      <w:r w:rsidR="00BA12C6" w:rsidRPr="00811771">
        <w:rPr>
          <w:sz w:val="22"/>
          <w:szCs w:val="22"/>
          <w:lang w:val="en-GB"/>
        </w:rPr>
        <w:t>.</w:t>
      </w:r>
    </w:p>
    <w:p w:rsidR="00BA12C6" w:rsidRPr="00811771" w:rsidRDefault="00BA12C6" w:rsidP="00BA12C6">
      <w:pPr>
        <w:pStyle w:val="FirstParagraph"/>
        <w:spacing w:line="360" w:lineRule="auto"/>
        <w:jc w:val="both"/>
        <w:rPr>
          <w:sz w:val="22"/>
          <w:szCs w:val="22"/>
          <w:lang w:val="en-GB"/>
        </w:rPr>
      </w:pPr>
      <w:r w:rsidRPr="00811771">
        <w:rPr>
          <w:rFonts w:ascii="Arial" w:hAnsi="Arial" w:cs="Arial"/>
          <w:sz w:val="22"/>
          <w:szCs w:val="22"/>
          <w:lang w:val="en-GB"/>
        </w:rPr>
        <w:t>In these notations</w:t>
      </w:r>
      <w:r w:rsidRPr="00C26B38">
        <w:rPr>
          <w:rFonts w:ascii="Arial" w:hAnsi="Arial" w:cs="Arial"/>
          <w:sz w:val="22"/>
          <w:szCs w:val="22"/>
          <w:lang w:val="en-GB"/>
        </w:rPr>
        <w:t>,</w:t>
      </w:r>
      <w:r w:rsidRPr="00811771">
        <w:rPr>
          <w:rFonts w:ascii="Arial" w:hAnsi="Arial" w:cs="Arial"/>
          <w:sz w:val="22"/>
          <w:szCs w:val="22"/>
          <w:lang w:val="en-GB"/>
        </w:rPr>
        <w:t xml:space="preserve"> </w:t>
      </w:r>
      <m:oMath>
        <m:r>
          <w:rPr>
            <w:rFonts w:ascii="Cambria Math" w:hAnsi="Cambria Math" w:cs="Arial"/>
            <w:sz w:val="22"/>
            <w:szCs w:val="22"/>
            <w:lang w:val="en-GB"/>
          </w:rPr>
          <m:t>T</m:t>
        </m:r>
      </m:oMath>
      <w:r w:rsidRPr="00811771">
        <w:rPr>
          <w:rFonts w:ascii="Arial" w:hAnsi="Arial" w:cs="Arial"/>
          <w:sz w:val="22"/>
          <w:szCs w:val="22"/>
          <w:lang w:val="en-GB"/>
        </w:rPr>
        <w:t xml:space="preserve"> is the between-study covariance matrix of the pooled intercept and predictor </w:t>
      </w:r>
      <w:proofErr w:type="gramStart"/>
      <w:r w:rsidRPr="00811771">
        <w:rPr>
          <w:rFonts w:ascii="Arial" w:hAnsi="Arial" w:cs="Arial"/>
          <w:sz w:val="22"/>
          <w:szCs w:val="22"/>
          <w:lang w:val="en-GB"/>
        </w:rPr>
        <w:t>effect.</w:t>
      </w:r>
      <w:proofErr w:type="gramEnd"/>
      <w:r w:rsidRPr="00811771">
        <w:rPr>
          <w:rFonts w:ascii="Arial" w:hAnsi="Arial" w:cs="Arial"/>
          <w:sz w:val="22"/>
          <w:szCs w:val="22"/>
          <w:lang w:val="en-GB"/>
        </w:rPr>
        <w:t xml:space="preserve"> Compared to the two-stage approach, the one-stage approach would require considerable computational effort to provide similar results (</w:t>
      </w:r>
      <w:r>
        <w:rPr>
          <w:rFonts w:ascii="Arial" w:hAnsi="Arial" w:cs="Arial"/>
          <w:sz w:val="22"/>
          <w:szCs w:val="22"/>
          <w:lang w:val="en-GB"/>
        </w:rPr>
        <w:t>2-4</w:t>
      </w:r>
      <w:r w:rsidRPr="00811771">
        <w:rPr>
          <w:rFonts w:ascii="Arial" w:hAnsi="Arial" w:cs="Arial"/>
          <w:sz w:val="22"/>
          <w:szCs w:val="22"/>
          <w:lang w:val="en-GB"/>
        </w:rPr>
        <w:t>)</w:t>
      </w:r>
      <w:r>
        <w:rPr>
          <w:rFonts w:ascii="Arial" w:hAnsi="Arial" w:cs="Arial"/>
          <w:sz w:val="22"/>
          <w:szCs w:val="22"/>
          <w:lang w:val="en-GB"/>
        </w:rPr>
        <w:t>.</w:t>
      </w:r>
    </w:p>
    <w:p w:rsidR="00BA12C6" w:rsidRPr="00811771" w:rsidRDefault="00BA12C6" w:rsidP="00BA12C6">
      <w:pPr>
        <w:pStyle w:val="Heading2"/>
        <w:numPr>
          <w:ilvl w:val="0"/>
          <w:numId w:val="1"/>
        </w:numPr>
        <w:rPr>
          <w:rFonts w:ascii="Arial" w:hAnsi="Arial" w:cs="Arial"/>
          <w:b/>
          <w:i/>
          <w:color w:val="auto"/>
          <w:sz w:val="22"/>
          <w:szCs w:val="22"/>
          <w:lang w:val="en-GB"/>
        </w:rPr>
      </w:pPr>
      <w:bookmarkStart w:id="1" w:name="common-effect-model"/>
      <w:bookmarkEnd w:id="1"/>
      <w:r>
        <w:rPr>
          <w:rFonts w:ascii="Arial" w:hAnsi="Arial" w:cs="Arial"/>
          <w:b/>
          <w:i/>
          <w:color w:val="auto"/>
          <w:sz w:val="22"/>
          <w:szCs w:val="22"/>
          <w:lang w:val="en-GB"/>
        </w:rPr>
        <w:t>Mixed-</w:t>
      </w:r>
      <w:r w:rsidRPr="00811771">
        <w:rPr>
          <w:rFonts w:ascii="Arial" w:hAnsi="Arial" w:cs="Arial"/>
          <w:b/>
          <w:i/>
          <w:color w:val="auto"/>
          <w:sz w:val="22"/>
          <w:szCs w:val="22"/>
          <w:lang w:val="en-GB"/>
        </w:rPr>
        <w:t>effect model</w:t>
      </w:r>
    </w:p>
    <w:p w:rsidR="00BA12C6" w:rsidRPr="00811771" w:rsidRDefault="00BA12C6" w:rsidP="00BA12C6">
      <w:pPr>
        <w:pStyle w:val="FirstParagraph"/>
        <w:spacing w:line="480" w:lineRule="auto"/>
        <w:rPr>
          <w:rFonts w:ascii="Arial" w:hAnsi="Arial" w:cs="Arial"/>
          <w:sz w:val="22"/>
          <w:szCs w:val="22"/>
          <w:lang w:val="en-GB"/>
        </w:rPr>
      </w:pPr>
      <w:r w:rsidRPr="00811771">
        <w:rPr>
          <w:rFonts w:ascii="Arial" w:hAnsi="Arial" w:cs="Arial"/>
          <w:sz w:val="22"/>
          <w:szCs w:val="22"/>
          <w:lang w:val="en-GB"/>
        </w:rPr>
        <w:t xml:space="preserve">In the </w:t>
      </w:r>
      <w:r>
        <w:rPr>
          <w:rFonts w:ascii="Arial" w:hAnsi="Arial" w:cs="Arial"/>
          <w:sz w:val="22"/>
          <w:szCs w:val="22"/>
          <w:lang w:val="en-GB"/>
        </w:rPr>
        <w:t>mixed-effect</w:t>
      </w:r>
      <w:r w:rsidRPr="00811771">
        <w:rPr>
          <w:rFonts w:ascii="Arial" w:hAnsi="Arial" w:cs="Arial"/>
          <w:sz w:val="22"/>
          <w:szCs w:val="22"/>
          <w:lang w:val="en-GB"/>
        </w:rPr>
        <w:t xml:space="preserve"> model</w:t>
      </w:r>
      <w:r w:rsidRPr="00C26B38">
        <w:rPr>
          <w:rFonts w:ascii="Arial" w:hAnsi="Arial" w:cs="Arial"/>
          <w:sz w:val="22"/>
          <w:szCs w:val="22"/>
          <w:lang w:val="en-GB"/>
        </w:rPr>
        <w:t>,</w:t>
      </w:r>
      <w:r w:rsidRPr="00811771">
        <w:rPr>
          <w:rFonts w:ascii="Arial" w:hAnsi="Arial" w:cs="Arial"/>
          <w:sz w:val="22"/>
          <w:szCs w:val="22"/>
          <w:lang w:val="en-GB"/>
        </w:rPr>
        <w:t xml:space="preserve"> we assume that the PSP effect between studies is common, but the intercepts may vary between studies reflecting a different baseline risk of infection.</w:t>
      </w:r>
    </w:p>
    <w:p w:rsidR="00BA12C6" w:rsidRPr="00811771" w:rsidRDefault="00BA12C6" w:rsidP="00BA12C6">
      <w:pPr>
        <w:pStyle w:val="BodyText"/>
        <w:rPr>
          <w:sz w:val="22"/>
          <w:szCs w:val="22"/>
          <w:lang w:val="en-GB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GB"/>
            </w:rPr>
            <m:t>logit</m:t>
          </m:r>
          <m:r>
            <w:rPr>
              <w:rFonts w:ascii="Cambria Math" w:hAnsi="Cambria Math"/>
              <w:sz w:val="22"/>
              <w:szCs w:val="22"/>
              <w:lang w:val="en-GB"/>
            </w:rPr>
            <m:t> 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  <w:lang w:val="en-GB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GB"/>
                </w:rPr>
                <m:t>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GB"/>
                </w:rPr>
                <m:t>ij</m:t>
              </m:r>
            </m:sub>
          </m:sSub>
          <m:r>
            <w:rPr>
              <w:rFonts w:ascii="Cambria Math" w:hAnsi="Cambria Math"/>
              <w:sz w:val="22"/>
              <w:szCs w:val="22"/>
              <w:lang w:val="en-GB"/>
            </w:rPr>
            <m:t>=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  <w:lang w:val="en-GB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GB"/>
                </w:rPr>
                <m:t>α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GB"/>
                </w:rPr>
                <m:t>j</m:t>
              </m:r>
            </m:sub>
          </m:sSub>
          <m:r>
            <w:rPr>
              <w:rFonts w:ascii="Cambria Math" w:hAnsi="Cambria Math"/>
              <w:sz w:val="22"/>
              <w:szCs w:val="22"/>
              <w:lang w:val="en-GB"/>
            </w:rPr>
            <m:t>+β 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  <w:lang w:val="en-GB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GB"/>
                </w:rPr>
                <m:t>PSP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GB"/>
                </w:rPr>
                <m:t>ij</m:t>
              </m:r>
            </m:sub>
          </m:sSub>
        </m:oMath>
      </m:oMathPara>
    </w:p>
    <w:p w:rsidR="00BA12C6" w:rsidRPr="00811771" w:rsidRDefault="000C32E0" w:rsidP="00BA12C6">
      <w:pPr>
        <w:pStyle w:val="FirstParagraph"/>
        <w:rPr>
          <w:sz w:val="22"/>
          <w:szCs w:val="22"/>
          <w:lang w:val="en-GB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sz w:val="22"/>
                  <w:szCs w:val="22"/>
                  <w:lang w:val="en-GB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GB"/>
                </w:rPr>
                <m:t>α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GB"/>
                </w:rPr>
                <m:t>j</m:t>
              </m:r>
            </m:sub>
          </m:sSub>
          <m:r>
            <w:rPr>
              <w:rFonts w:ascii="Cambria Math" w:hAnsi="Cambria Math"/>
              <w:sz w:val="22"/>
              <w:szCs w:val="22"/>
              <w:lang w:val="en-GB"/>
            </w:rPr>
            <m:t>∼N(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  <w:lang w:val="en-GB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GB"/>
                </w:rPr>
                <m:t>μ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GB"/>
                </w:rPr>
                <m:t>α</m:t>
              </m:r>
            </m:sub>
          </m:sSub>
          <m:r>
            <w:rPr>
              <w:rFonts w:ascii="Cambria Math" w:hAnsi="Cambria Math"/>
              <w:sz w:val="22"/>
              <w:szCs w:val="22"/>
              <w:lang w:val="en-GB"/>
            </w:rPr>
            <m:t>,</m:t>
          </m:r>
          <m:sSubSup>
            <m:sSubSupPr>
              <m:ctrlPr>
                <w:rPr>
                  <w:rFonts w:ascii="Cambria Math" w:hAnsi="Cambria Math"/>
                  <w:sz w:val="22"/>
                  <w:szCs w:val="22"/>
                  <w:lang w:val="en-GB"/>
                </w:rPr>
              </m:ctrlPr>
            </m:sSubSupPr>
            <m:e>
              <m:r>
                <w:rPr>
                  <w:rFonts w:ascii="Cambria Math" w:hAnsi="Cambria Math"/>
                  <w:sz w:val="22"/>
                  <w:szCs w:val="22"/>
                  <w:lang w:val="en-GB"/>
                </w:rPr>
                <m:t>τ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GB"/>
                </w:rPr>
                <m:t>α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  <w:lang w:val="en-GB"/>
                </w:rPr>
                <m:t>2</m:t>
              </m:r>
            </m:sup>
          </m:sSubSup>
          <m:r>
            <w:rPr>
              <w:rFonts w:ascii="Cambria Math" w:hAnsi="Cambria Math"/>
              <w:sz w:val="22"/>
              <w:szCs w:val="22"/>
              <w:lang w:val="en-GB"/>
            </w:rPr>
            <m:t>).</m:t>
          </m:r>
        </m:oMath>
      </m:oMathPara>
    </w:p>
    <w:p w:rsidR="00BA12C6" w:rsidRPr="00811771" w:rsidRDefault="00BA12C6" w:rsidP="00BA12C6">
      <w:pPr>
        <w:pStyle w:val="FirstParagraph"/>
        <w:spacing w:line="480" w:lineRule="auto"/>
        <w:rPr>
          <w:rFonts w:ascii="Arial" w:hAnsi="Arial" w:cs="Arial"/>
          <w:sz w:val="22"/>
          <w:szCs w:val="22"/>
          <w:lang w:val="en-GB"/>
        </w:rPr>
      </w:pPr>
      <w:r w:rsidRPr="00811771">
        <w:rPr>
          <w:rFonts w:ascii="Arial" w:hAnsi="Arial" w:cs="Arial"/>
          <w:sz w:val="22"/>
          <w:szCs w:val="22"/>
          <w:lang w:val="en-GB"/>
        </w:rPr>
        <w:t>We</w:t>
      </w:r>
      <w:r>
        <w:rPr>
          <w:rFonts w:ascii="Arial" w:hAnsi="Arial" w:cs="Arial"/>
          <w:sz w:val="22"/>
          <w:szCs w:val="22"/>
          <w:lang w:val="en-GB"/>
        </w:rPr>
        <w:t xml:space="preserve"> fit this model as mixed-effect</w:t>
      </w:r>
      <w:r w:rsidRPr="00811771">
        <w:rPr>
          <w:rFonts w:ascii="Arial" w:hAnsi="Arial" w:cs="Arial"/>
          <w:sz w:val="22"/>
          <w:szCs w:val="22"/>
          <w:lang w:val="en-GB"/>
        </w:rPr>
        <w:t xml:space="preserve"> logistic regression model, the results in terms of ROC AUC are presented in Supplemental Tables 5B and 7.</w:t>
      </w:r>
    </w:p>
    <w:p w:rsidR="00BA12C6" w:rsidRPr="00811771" w:rsidRDefault="00BA12C6" w:rsidP="00BA12C6">
      <w:pPr>
        <w:pStyle w:val="FirstParagraph"/>
        <w:spacing w:line="480" w:lineRule="auto"/>
        <w:rPr>
          <w:rFonts w:ascii="Arial" w:hAnsi="Arial" w:cs="Arial"/>
          <w:sz w:val="22"/>
          <w:szCs w:val="22"/>
          <w:lang w:val="en-GB"/>
        </w:rPr>
      </w:pPr>
    </w:p>
    <w:p w:rsidR="00BA12C6" w:rsidRPr="00811771" w:rsidRDefault="00BA12C6" w:rsidP="00BA12C6">
      <w:pPr>
        <w:pStyle w:val="Heading2"/>
        <w:numPr>
          <w:ilvl w:val="0"/>
          <w:numId w:val="1"/>
        </w:numPr>
        <w:rPr>
          <w:rFonts w:ascii="Arial" w:hAnsi="Arial" w:cs="Arial"/>
          <w:b/>
          <w:i/>
          <w:color w:val="auto"/>
          <w:sz w:val="22"/>
          <w:szCs w:val="22"/>
          <w:lang w:val="en-GB"/>
        </w:rPr>
      </w:pPr>
      <w:bookmarkStart w:id="2" w:name="single-fit-model"/>
      <w:bookmarkEnd w:id="2"/>
      <w:r>
        <w:rPr>
          <w:rFonts w:ascii="Arial" w:hAnsi="Arial" w:cs="Arial"/>
          <w:b/>
          <w:i/>
          <w:color w:val="auto"/>
          <w:sz w:val="22"/>
          <w:szCs w:val="22"/>
          <w:lang w:val="en-GB"/>
        </w:rPr>
        <w:lastRenderedPageBreak/>
        <w:t xml:space="preserve">Fixed-effect </w:t>
      </w:r>
      <w:r w:rsidRPr="00811771">
        <w:rPr>
          <w:rFonts w:ascii="Arial" w:hAnsi="Arial" w:cs="Arial"/>
          <w:b/>
          <w:i/>
          <w:color w:val="auto"/>
          <w:sz w:val="22"/>
          <w:szCs w:val="22"/>
          <w:lang w:val="en-GB"/>
        </w:rPr>
        <w:t>model</w:t>
      </w:r>
    </w:p>
    <w:p w:rsidR="00BA12C6" w:rsidRPr="00811771" w:rsidRDefault="00BA12C6" w:rsidP="00BA12C6">
      <w:pPr>
        <w:pStyle w:val="FirstParagraph"/>
        <w:spacing w:line="480" w:lineRule="auto"/>
        <w:rPr>
          <w:rFonts w:ascii="Arial" w:hAnsi="Arial" w:cs="Arial"/>
          <w:sz w:val="22"/>
          <w:szCs w:val="22"/>
          <w:lang w:val="en-GB"/>
        </w:rPr>
      </w:pPr>
      <w:r w:rsidRPr="00811771">
        <w:rPr>
          <w:rFonts w:ascii="Arial" w:hAnsi="Arial" w:cs="Arial"/>
          <w:sz w:val="22"/>
          <w:szCs w:val="22"/>
          <w:lang w:val="en-GB"/>
        </w:rPr>
        <w:t xml:space="preserve">In the </w:t>
      </w:r>
      <w:r>
        <w:rPr>
          <w:rFonts w:ascii="Arial" w:hAnsi="Arial" w:cs="Arial"/>
          <w:sz w:val="22"/>
          <w:szCs w:val="22"/>
          <w:lang w:val="en-GB"/>
        </w:rPr>
        <w:t xml:space="preserve">fixed-effect </w:t>
      </w:r>
      <w:r w:rsidRPr="00811771">
        <w:rPr>
          <w:rFonts w:ascii="Arial" w:hAnsi="Arial" w:cs="Arial"/>
          <w:sz w:val="22"/>
          <w:szCs w:val="22"/>
          <w:lang w:val="en-GB"/>
        </w:rPr>
        <w:t>model</w:t>
      </w:r>
      <w:r w:rsidRPr="00C26B38">
        <w:rPr>
          <w:rFonts w:ascii="Arial" w:hAnsi="Arial" w:cs="Arial"/>
          <w:sz w:val="22"/>
          <w:szCs w:val="22"/>
          <w:lang w:val="en-GB"/>
        </w:rPr>
        <w:t>,</w:t>
      </w:r>
      <w:r w:rsidRPr="00811771">
        <w:rPr>
          <w:rFonts w:ascii="Arial" w:hAnsi="Arial" w:cs="Arial"/>
          <w:sz w:val="22"/>
          <w:szCs w:val="22"/>
          <w:lang w:val="en-GB"/>
        </w:rPr>
        <w:t xml:space="preserve"> we assume that both </w:t>
      </w:r>
      <w:r>
        <w:rPr>
          <w:rFonts w:ascii="Arial" w:hAnsi="Arial" w:cs="Arial"/>
          <w:sz w:val="22"/>
          <w:szCs w:val="22"/>
          <w:lang w:val="en-GB"/>
        </w:rPr>
        <w:t xml:space="preserve">the </w:t>
      </w:r>
      <w:r w:rsidRPr="00811771">
        <w:rPr>
          <w:rFonts w:ascii="Arial" w:hAnsi="Arial" w:cs="Arial"/>
          <w:sz w:val="22"/>
          <w:szCs w:val="22"/>
          <w:lang w:val="en-GB"/>
        </w:rPr>
        <w:t>intercept and PSP effect are common between all the considered studies:</w:t>
      </w:r>
    </w:p>
    <w:p w:rsidR="00BA12C6" w:rsidRPr="00811771" w:rsidRDefault="00BA12C6" w:rsidP="00BA12C6">
      <w:pPr>
        <w:pStyle w:val="BodyText"/>
        <w:rPr>
          <w:rFonts w:ascii="Arial" w:eastAsiaTheme="minorEastAsia" w:hAnsi="Arial" w:cs="Arial"/>
          <w:lang w:val="en-GB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GB"/>
            </w:rPr>
            <m:t>logit</m:t>
          </m:r>
          <m:r>
            <w:rPr>
              <w:rFonts w:ascii="Cambria Math" w:hAnsi="Cambria Math"/>
              <w:sz w:val="22"/>
              <w:szCs w:val="22"/>
              <w:lang w:val="en-GB"/>
            </w:rPr>
            <m:t> 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  <w:lang w:val="en-GB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GB"/>
                </w:rPr>
                <m:t>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GB"/>
                </w:rPr>
                <m:t>ij</m:t>
              </m:r>
            </m:sub>
          </m:sSub>
          <m:r>
            <w:rPr>
              <w:rFonts w:ascii="Cambria Math" w:hAnsi="Cambria Math"/>
              <w:sz w:val="22"/>
              <w:szCs w:val="22"/>
              <w:lang w:val="en-GB"/>
            </w:rPr>
            <m:t>=α+β 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  <w:lang w:val="en-GB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GB"/>
                </w:rPr>
                <m:t>PSP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GB"/>
                </w:rPr>
                <m:t>ij</m:t>
              </m:r>
            </m:sub>
          </m:sSub>
          <m:r>
            <w:rPr>
              <w:rFonts w:ascii="Cambria Math" w:hAnsi="Cambria Math"/>
              <w:sz w:val="22"/>
              <w:szCs w:val="22"/>
              <w:lang w:val="en-GB"/>
            </w:rPr>
            <m:t>.</m:t>
          </m:r>
        </m:oMath>
      </m:oMathPara>
    </w:p>
    <w:p w:rsidR="00BA12C6" w:rsidRPr="00811771" w:rsidRDefault="00BA12C6" w:rsidP="00BA12C6">
      <w:pPr>
        <w:pStyle w:val="FirstParagraph"/>
        <w:spacing w:line="480" w:lineRule="auto"/>
        <w:rPr>
          <w:rFonts w:ascii="Arial" w:hAnsi="Arial" w:cs="Arial"/>
          <w:sz w:val="22"/>
          <w:szCs w:val="22"/>
          <w:lang w:val="en-GB"/>
        </w:rPr>
      </w:pPr>
      <w:r w:rsidRPr="00811771">
        <w:rPr>
          <w:rFonts w:ascii="Arial" w:hAnsi="Arial" w:cs="Arial"/>
          <w:sz w:val="22"/>
          <w:szCs w:val="22"/>
          <w:lang w:val="en-GB"/>
        </w:rPr>
        <w:t>The respective estimates and ROC AUC for PSP data are in Supplemental Tables 5C and 9.</w:t>
      </w:r>
    </w:p>
    <w:p w:rsidR="00BA12C6" w:rsidRPr="00811771" w:rsidRDefault="00BA12C6" w:rsidP="00BA12C6">
      <w:pPr>
        <w:pStyle w:val="BodyText"/>
        <w:rPr>
          <w:rFonts w:ascii="Arial" w:hAnsi="Arial" w:cs="Arial"/>
          <w:lang w:val="en-GB"/>
        </w:rPr>
      </w:pPr>
    </w:p>
    <w:p w:rsidR="00BA12C6" w:rsidRPr="00811771" w:rsidRDefault="00BA12C6" w:rsidP="00BA12C6">
      <w:pPr>
        <w:pStyle w:val="BodyText"/>
        <w:spacing w:line="480" w:lineRule="auto"/>
        <w:rPr>
          <w:rFonts w:ascii="Arial" w:hAnsi="Arial" w:cs="Arial"/>
          <w:b/>
          <w:lang w:val="en-GB"/>
        </w:rPr>
      </w:pPr>
      <w:r w:rsidRPr="00811771">
        <w:rPr>
          <w:rFonts w:ascii="Arial" w:hAnsi="Arial" w:cs="Arial"/>
          <w:b/>
          <w:lang w:val="en-GB"/>
        </w:rPr>
        <w:t>REFERENCES</w:t>
      </w:r>
    </w:p>
    <w:p w:rsidR="00BA12C6" w:rsidRPr="001A40A0" w:rsidRDefault="00BA12C6" w:rsidP="00BA12C6">
      <w:pPr>
        <w:pStyle w:val="EndNoteBibliography"/>
        <w:numPr>
          <w:ilvl w:val="0"/>
          <w:numId w:val="2"/>
        </w:numPr>
        <w:spacing w:after="0" w:line="480" w:lineRule="auto"/>
      </w:pPr>
      <w:r w:rsidRPr="001A40A0">
        <w:rPr>
          <w:lang w:val="de-CH"/>
        </w:rPr>
        <w:t xml:space="preserve">Steyerberg EW, Nieboer D, Debray TPA, van Houwelingen HC. </w:t>
      </w:r>
      <w:r w:rsidRPr="00100C2E">
        <w:t xml:space="preserve">Assessment of heterogeneity in an individual participant data meta-analysis of prediction models: An overview and illustration. </w:t>
      </w:r>
      <w:r w:rsidRPr="00100C2E">
        <w:rPr>
          <w:i/>
        </w:rPr>
        <w:t xml:space="preserve">Statistics in medicine </w:t>
      </w:r>
      <w:r w:rsidRPr="00100C2E">
        <w:t>2019; 38: 4290-4309.</w:t>
      </w:r>
    </w:p>
    <w:p w:rsidR="00BA12C6" w:rsidRPr="001879D4" w:rsidRDefault="00BA12C6" w:rsidP="00BA12C6">
      <w:pPr>
        <w:pStyle w:val="BodyText"/>
        <w:numPr>
          <w:ilvl w:val="0"/>
          <w:numId w:val="2"/>
        </w:numPr>
        <w:spacing w:line="480" w:lineRule="auto"/>
        <w:jc w:val="both"/>
        <w:rPr>
          <w:rFonts w:ascii="Arial" w:hAnsi="Arial" w:cs="Arial"/>
          <w:noProof/>
          <w:sz w:val="22"/>
          <w:szCs w:val="22"/>
          <w:lang w:val="en-GB"/>
        </w:rPr>
      </w:pPr>
      <w:r w:rsidRPr="001879D4">
        <w:rPr>
          <w:rFonts w:ascii="Arial" w:hAnsi="Arial" w:cs="Arial"/>
          <w:noProof/>
          <w:sz w:val="22"/>
          <w:szCs w:val="22"/>
          <w:lang w:val="en-GB"/>
        </w:rPr>
        <w:t>Debray, T.P., Moons, K.G., Ahmed, I., Koffijberg, H. and Riley, R.D. A framework for developing, implementing, and evaluating clinical prediction models in an individual participant data meta</w:t>
      </w:r>
      <w:r w:rsidRPr="001879D4">
        <w:rPr>
          <w:rFonts w:ascii="Cambria Math" w:hAnsi="Cambria Math" w:cs="Cambria Math"/>
          <w:noProof/>
          <w:sz w:val="22"/>
          <w:szCs w:val="22"/>
          <w:lang w:val="en-GB"/>
        </w:rPr>
        <w:t>‐</w:t>
      </w:r>
      <w:r w:rsidRPr="001879D4">
        <w:rPr>
          <w:rFonts w:ascii="Arial" w:hAnsi="Arial" w:cs="Arial"/>
          <w:noProof/>
          <w:sz w:val="22"/>
          <w:szCs w:val="22"/>
          <w:lang w:val="en-GB"/>
        </w:rPr>
        <w:t>analysis. Statist. Med. 2013; 32:3158-3180.</w:t>
      </w:r>
    </w:p>
    <w:p w:rsidR="00BA12C6" w:rsidRPr="001879D4" w:rsidRDefault="00BA12C6" w:rsidP="00BA12C6">
      <w:pPr>
        <w:pStyle w:val="BodyText"/>
        <w:numPr>
          <w:ilvl w:val="0"/>
          <w:numId w:val="2"/>
        </w:numPr>
        <w:spacing w:line="480" w:lineRule="auto"/>
        <w:jc w:val="both"/>
        <w:rPr>
          <w:rFonts w:ascii="Arial" w:hAnsi="Arial" w:cs="Arial"/>
          <w:noProof/>
          <w:sz w:val="22"/>
          <w:szCs w:val="22"/>
          <w:lang w:val="en-GB"/>
        </w:rPr>
      </w:pPr>
      <w:r w:rsidRPr="001879D4">
        <w:rPr>
          <w:rFonts w:ascii="Arial" w:hAnsi="Arial" w:cs="Arial"/>
          <w:noProof/>
          <w:sz w:val="22"/>
          <w:szCs w:val="22"/>
          <w:lang w:val="en-GB"/>
        </w:rPr>
        <w:t>Debray, T. P., Schuit, E., Efthimiou, O., Reitsma, J. B., Ioannidis, J. P., Salanti, G., Moons, K. G. M.  on behalf of GetReal Workpackage (2016). An overview of methods for network meta-analysis using individual participant data: when do benefits arise? Statistical Methods in Medical Research, 27(5), 1351–1364.</w:t>
      </w:r>
    </w:p>
    <w:p w:rsidR="00BA12C6" w:rsidRPr="001879D4" w:rsidRDefault="00BA12C6" w:rsidP="00BA12C6">
      <w:pPr>
        <w:pStyle w:val="BodyText"/>
        <w:numPr>
          <w:ilvl w:val="0"/>
          <w:numId w:val="2"/>
        </w:numPr>
        <w:spacing w:line="480" w:lineRule="auto"/>
        <w:jc w:val="both"/>
        <w:rPr>
          <w:rFonts w:ascii="Arial" w:hAnsi="Arial" w:cs="Arial"/>
          <w:noProof/>
          <w:sz w:val="22"/>
          <w:szCs w:val="22"/>
          <w:lang w:val="en-GB"/>
        </w:rPr>
      </w:pPr>
      <w:r w:rsidRPr="001879D4">
        <w:rPr>
          <w:rFonts w:ascii="Arial" w:hAnsi="Arial" w:cs="Arial"/>
          <w:noProof/>
          <w:sz w:val="22"/>
          <w:szCs w:val="22"/>
          <w:lang w:val="en-GB"/>
        </w:rPr>
        <w:t>Ewout W. Steyerberg, Daan Nieboer, Thomas P.A. Debray, Hans C. Houwelingen, Assessment of heterogeneity in an individual participant data meta</w:t>
      </w:r>
      <w:r w:rsidRPr="001879D4">
        <w:rPr>
          <w:rFonts w:ascii="Cambria Math" w:hAnsi="Cambria Math" w:cs="Cambria Math"/>
          <w:noProof/>
          <w:sz w:val="22"/>
          <w:szCs w:val="22"/>
          <w:lang w:val="en-GB"/>
        </w:rPr>
        <w:t>‐</w:t>
      </w:r>
      <w:r w:rsidRPr="001879D4">
        <w:rPr>
          <w:rFonts w:ascii="Arial" w:hAnsi="Arial" w:cs="Arial"/>
          <w:noProof/>
          <w:sz w:val="22"/>
          <w:szCs w:val="22"/>
          <w:lang w:val="en-GB"/>
        </w:rPr>
        <w:t>analysis of prediction models: An overview and illustration, Statistics in Medicine. 2019; 38: 4290-4309.</w:t>
      </w:r>
    </w:p>
    <w:p w:rsidR="00BF67FA" w:rsidRDefault="00BF67FA"/>
    <w:sectPr w:rsidR="00BF67FA" w:rsidSect="000C32E0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02E39"/>
    <w:multiLevelType w:val="hybridMultilevel"/>
    <w:tmpl w:val="F77859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351298B"/>
    <w:multiLevelType w:val="hybridMultilevel"/>
    <w:tmpl w:val="7B8ABECA"/>
    <w:lvl w:ilvl="0" w:tplc="75D4AD2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2C6"/>
    <w:rsid w:val="000A5EC8"/>
    <w:rsid w:val="000C32E0"/>
    <w:rsid w:val="00163573"/>
    <w:rsid w:val="0032768C"/>
    <w:rsid w:val="007A3BF4"/>
    <w:rsid w:val="009E28C9"/>
    <w:rsid w:val="00BA12C6"/>
    <w:rsid w:val="00BF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9C8F88-8ED2-4724-A94C-770C3CF49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2C6"/>
    <w:rPr>
      <w:rFonts w:ascii="Arial" w:hAnsi="Ari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12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A12C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qFormat/>
    <w:rsid w:val="00BA12C6"/>
    <w:pPr>
      <w:spacing w:before="180" w:after="180" w:line="240" w:lineRule="auto"/>
    </w:pPr>
    <w:rPr>
      <w:rFonts w:asciiTheme="minorHAnsi" w:hAnsiTheme="minorHAnsi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BA12C6"/>
    <w:rPr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BA12C6"/>
    <w:pPr>
      <w:spacing w:line="240" w:lineRule="auto"/>
      <w:jc w:val="both"/>
    </w:pPr>
    <w:rPr>
      <w:rFonts w:cs="Arial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BA12C6"/>
    <w:rPr>
      <w:rFonts w:ascii="Arial" w:hAnsi="Arial" w:cs="Arial"/>
      <w:noProof/>
      <w:lang w:val="en-US"/>
    </w:rPr>
  </w:style>
  <w:style w:type="paragraph" w:customStyle="1" w:styleId="FirstParagraph">
    <w:name w:val="First Paragraph"/>
    <w:basedOn w:val="BodyText"/>
    <w:next w:val="BodyText"/>
    <w:qFormat/>
    <w:rsid w:val="00BA12C6"/>
  </w:style>
  <w:style w:type="character" w:styleId="LineNumber">
    <w:name w:val="line number"/>
    <w:basedOn w:val="DefaultParagraphFont"/>
    <w:uiPriority w:val="99"/>
    <w:semiHidden/>
    <w:unhideWhenUsed/>
    <w:rsid w:val="00BA12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Insel Gruppe</Company>
  <LinksUpToDate>false</LinksUpToDate>
  <CharactersWithSpaces>4951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Prazak, Josef</dc:creator>
  <cp:keywords/>
  <dc:description/>
  <cp:lastModifiedBy>Raman S.V.</cp:lastModifiedBy>
  <cp:revision>2</cp:revision>
  <dcterms:created xsi:type="dcterms:W3CDTF">2020-11-28T08:18:00Z</dcterms:created>
  <dcterms:modified xsi:type="dcterms:W3CDTF">2021-05-20T11:03:00Z</dcterms:modified>
</cp:coreProperties>
</file>