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AEFCBD" w14:textId="3E1E108C" w:rsidR="00F01242" w:rsidRPr="008C0D55" w:rsidRDefault="00F01242" w:rsidP="00F01242">
      <w:pPr>
        <w:pStyle w:val="NoSpacing"/>
        <w:spacing w:line="480" w:lineRule="auto"/>
        <w:jc w:val="center"/>
        <w:rPr>
          <w:rFonts w:asciiTheme="majorHAnsi" w:hAnsiTheme="majorHAnsi" w:cstheme="majorHAnsi"/>
          <w:b/>
          <w:bCs/>
          <w:sz w:val="28"/>
          <w:szCs w:val="28"/>
          <w:u w:val="single"/>
        </w:rPr>
      </w:pPr>
      <w:r w:rsidRPr="008C0D55">
        <w:rPr>
          <w:rFonts w:asciiTheme="majorHAnsi" w:hAnsiTheme="majorHAnsi" w:cstheme="majorHAnsi"/>
          <w:b/>
          <w:bCs/>
          <w:sz w:val="28"/>
          <w:szCs w:val="28"/>
          <w:u w:val="single"/>
        </w:rPr>
        <w:t>Supplement</w:t>
      </w:r>
      <w:r w:rsidR="003A560A" w:rsidRPr="008C0D55">
        <w:rPr>
          <w:rFonts w:asciiTheme="majorHAnsi" w:hAnsiTheme="majorHAnsi" w:cstheme="majorHAnsi"/>
          <w:b/>
          <w:bCs/>
          <w:sz w:val="28"/>
          <w:szCs w:val="28"/>
          <w:u w:val="single"/>
        </w:rPr>
        <w:t xml:space="preserve"> 1</w:t>
      </w:r>
    </w:p>
    <w:p w14:paraId="34C1F006" w14:textId="77777777" w:rsidR="00F01242" w:rsidRPr="008C0D55" w:rsidRDefault="00F01242" w:rsidP="001F3C94">
      <w:pPr>
        <w:pStyle w:val="NoSpacing"/>
        <w:spacing w:line="480" w:lineRule="auto"/>
        <w:jc w:val="center"/>
        <w:rPr>
          <w:rFonts w:asciiTheme="majorHAnsi" w:hAnsiTheme="majorHAnsi" w:cstheme="majorHAnsi"/>
          <w:b/>
          <w:bCs/>
          <w:sz w:val="28"/>
          <w:szCs w:val="28"/>
        </w:rPr>
      </w:pPr>
    </w:p>
    <w:p w14:paraId="6D7F62A6" w14:textId="29808963" w:rsidR="003A560A" w:rsidRPr="008C0D55" w:rsidRDefault="003A560A" w:rsidP="0066778E">
      <w:pPr>
        <w:pStyle w:val="NoSpacing"/>
        <w:spacing w:line="480" w:lineRule="auto"/>
        <w:jc w:val="center"/>
        <w:rPr>
          <w:rFonts w:asciiTheme="majorHAnsi" w:hAnsiTheme="majorHAnsi" w:cstheme="majorHAnsi"/>
          <w:b/>
          <w:bCs/>
          <w:sz w:val="28"/>
          <w:szCs w:val="28"/>
        </w:rPr>
      </w:pPr>
      <w:r w:rsidRPr="008C0D55">
        <w:rPr>
          <w:rFonts w:asciiTheme="majorHAnsi" w:hAnsiTheme="majorHAnsi" w:cstheme="majorHAnsi"/>
          <w:b/>
          <w:bCs/>
          <w:sz w:val="28"/>
          <w:szCs w:val="28"/>
        </w:rPr>
        <w:t xml:space="preserve">Lung distribution of gas and blood volume in </w:t>
      </w:r>
      <w:r w:rsidR="00B3007E" w:rsidRPr="008C0D55">
        <w:rPr>
          <w:rFonts w:asciiTheme="majorHAnsi" w:hAnsiTheme="majorHAnsi" w:cstheme="majorHAnsi"/>
          <w:b/>
          <w:bCs/>
          <w:sz w:val="28"/>
          <w:szCs w:val="28"/>
        </w:rPr>
        <w:t xml:space="preserve">severe </w:t>
      </w:r>
      <w:r w:rsidRPr="008C0D55">
        <w:rPr>
          <w:rFonts w:asciiTheme="majorHAnsi" w:hAnsiTheme="majorHAnsi" w:cstheme="majorHAnsi"/>
          <w:b/>
          <w:bCs/>
          <w:sz w:val="28"/>
          <w:szCs w:val="28"/>
        </w:rPr>
        <w:t>COVID-19</w:t>
      </w:r>
      <w:r w:rsidR="00B3007E" w:rsidRPr="008C0D55">
        <w:rPr>
          <w:rFonts w:asciiTheme="majorHAnsi" w:hAnsiTheme="majorHAnsi" w:cstheme="majorHAnsi"/>
          <w:b/>
          <w:bCs/>
          <w:sz w:val="28"/>
          <w:szCs w:val="28"/>
        </w:rPr>
        <w:t xml:space="preserve"> pneumonia</w:t>
      </w:r>
      <w:r w:rsidRPr="008C0D55">
        <w:rPr>
          <w:rFonts w:asciiTheme="majorHAnsi" w:hAnsiTheme="majorHAnsi" w:cstheme="majorHAnsi"/>
          <w:b/>
          <w:bCs/>
          <w:sz w:val="28"/>
          <w:szCs w:val="28"/>
        </w:rPr>
        <w:t xml:space="preserve">: a quantitative dual-energy computed tomography study </w:t>
      </w:r>
    </w:p>
    <w:p w14:paraId="2B3E74AE" w14:textId="114A6132" w:rsidR="004831F4" w:rsidRPr="008C0D55" w:rsidRDefault="004831F4" w:rsidP="0066778E">
      <w:pPr>
        <w:pStyle w:val="NoSpacing"/>
        <w:spacing w:line="480" w:lineRule="auto"/>
        <w:jc w:val="center"/>
        <w:rPr>
          <w:rFonts w:asciiTheme="majorHAnsi" w:hAnsiTheme="majorHAnsi" w:cstheme="majorHAnsi"/>
          <w:sz w:val="28"/>
          <w:szCs w:val="28"/>
        </w:rPr>
      </w:pPr>
      <w:r w:rsidRPr="008C0D55">
        <w:rPr>
          <w:rFonts w:asciiTheme="majorHAnsi" w:hAnsiTheme="majorHAnsi" w:cstheme="majorHAnsi"/>
          <w:sz w:val="28"/>
          <w:szCs w:val="28"/>
        </w:rPr>
        <w:t>Ball L et al.</w:t>
      </w:r>
    </w:p>
    <w:p w14:paraId="1BB336F7" w14:textId="77777777" w:rsidR="0066778E" w:rsidRPr="008C0D55" w:rsidRDefault="0066778E" w:rsidP="001F3C94">
      <w:pPr>
        <w:pStyle w:val="NoSpacing"/>
        <w:spacing w:line="480" w:lineRule="auto"/>
        <w:jc w:val="left"/>
        <w:rPr>
          <w:rFonts w:asciiTheme="majorHAnsi" w:hAnsiTheme="majorHAnsi" w:cstheme="majorHAnsi"/>
          <w:sz w:val="20"/>
          <w:szCs w:val="20"/>
        </w:rPr>
      </w:pPr>
    </w:p>
    <w:sdt>
      <w:sdtPr>
        <w:rPr>
          <w:rFonts w:asciiTheme="minorHAnsi" w:eastAsiaTheme="minorEastAsia" w:hAnsiTheme="minorHAnsi" w:cstheme="minorBidi"/>
          <w:b w:val="0"/>
          <w:bCs w:val="0"/>
          <w:iCs w:val="0"/>
          <w:caps w:val="0"/>
          <w:szCs w:val="22"/>
          <w:lang w:bidi="ar-SA"/>
        </w:rPr>
        <w:id w:val="-1355021556"/>
        <w:docPartObj>
          <w:docPartGallery w:val="Table of Contents"/>
          <w:docPartUnique/>
        </w:docPartObj>
      </w:sdtPr>
      <w:sdtEndPr>
        <w:rPr>
          <w:noProof/>
          <w:sz w:val="20"/>
          <w:szCs w:val="20"/>
        </w:rPr>
      </w:sdtEndPr>
      <w:sdtContent>
        <w:p w14:paraId="07FF46B5" w14:textId="6A61F5F7" w:rsidR="00AA585C" w:rsidRPr="008C0D55" w:rsidRDefault="00AA585C" w:rsidP="00BC5E79">
          <w:pPr>
            <w:pStyle w:val="TOCHeading"/>
            <w:rPr>
              <w:rFonts w:ascii="Arial" w:hAnsi="Arial" w:cs="Arial"/>
              <w:sz w:val="22"/>
              <w:szCs w:val="22"/>
            </w:rPr>
          </w:pPr>
          <w:r w:rsidRPr="008C0D55">
            <w:rPr>
              <w:rFonts w:ascii="Arial" w:hAnsi="Arial" w:cs="Arial"/>
              <w:sz w:val="22"/>
              <w:szCs w:val="22"/>
            </w:rPr>
            <w:t>Table of Contents</w:t>
          </w:r>
        </w:p>
        <w:p w14:paraId="4D7BA1F4" w14:textId="71493849" w:rsidR="00F564B0" w:rsidRPr="008C0D55" w:rsidRDefault="00F564B0" w:rsidP="00F564B0">
          <w:pPr>
            <w:pStyle w:val="TOC1"/>
            <w:ind w:firstLine="0"/>
            <w:rPr>
              <w:rFonts w:cstheme="minorBidi"/>
              <w:b w:val="0"/>
              <w:bCs w:val="0"/>
              <w:i w:val="0"/>
              <w:iCs w:val="0"/>
              <w:noProof/>
              <w:sz w:val="22"/>
              <w:szCs w:val="22"/>
              <w:lang w:eastAsia="en-GB"/>
            </w:rPr>
          </w:pPr>
          <w:r w:rsidRPr="008C0D55">
            <w:rPr>
              <w:rStyle w:val="Hyperlink"/>
              <w:i w:val="0"/>
              <w:iCs w:val="0"/>
              <w:noProof/>
              <w:color w:val="auto"/>
              <w:sz w:val="22"/>
              <w:szCs w:val="22"/>
            </w:rPr>
            <w:t>Clinical context and rationale for the use of DECT</w:t>
          </w:r>
          <w:r w:rsidRPr="008C0D55">
            <w:rPr>
              <w:i w:val="0"/>
              <w:iCs w:val="0"/>
              <w:noProof/>
              <w:webHidden/>
              <w:sz w:val="22"/>
              <w:szCs w:val="22"/>
            </w:rPr>
            <w:tab/>
            <w:t>2</w:t>
          </w:r>
        </w:p>
        <w:p w14:paraId="1B00E0F7" w14:textId="7D49AAC9" w:rsidR="00F564B0" w:rsidRPr="008C0D55" w:rsidRDefault="00F564B0" w:rsidP="00F564B0">
          <w:pPr>
            <w:pStyle w:val="TOC1"/>
            <w:ind w:firstLine="0"/>
            <w:rPr>
              <w:rFonts w:cstheme="minorBidi"/>
              <w:b w:val="0"/>
              <w:bCs w:val="0"/>
              <w:i w:val="0"/>
              <w:iCs w:val="0"/>
              <w:noProof/>
              <w:sz w:val="22"/>
              <w:szCs w:val="22"/>
              <w:lang w:eastAsia="en-GB"/>
            </w:rPr>
          </w:pPr>
          <w:r w:rsidRPr="008C0D55">
            <w:rPr>
              <w:rStyle w:val="Hyperlink"/>
              <w:i w:val="0"/>
              <w:iCs w:val="0"/>
              <w:noProof/>
              <w:color w:val="auto"/>
              <w:sz w:val="22"/>
              <w:szCs w:val="22"/>
            </w:rPr>
            <w:t>Clinical indications for lung DECT scan</w:t>
          </w:r>
          <w:r w:rsidRPr="008C0D55">
            <w:rPr>
              <w:i w:val="0"/>
              <w:iCs w:val="0"/>
              <w:noProof/>
              <w:webHidden/>
              <w:sz w:val="22"/>
              <w:szCs w:val="22"/>
            </w:rPr>
            <w:tab/>
            <w:t>2</w:t>
          </w:r>
        </w:p>
        <w:p w14:paraId="0BC3169C" w14:textId="2F1A2975" w:rsidR="00F564B0" w:rsidRPr="008C0D55" w:rsidRDefault="00F564B0" w:rsidP="00F564B0">
          <w:pPr>
            <w:pStyle w:val="TOC1"/>
            <w:ind w:firstLine="0"/>
            <w:rPr>
              <w:rFonts w:cstheme="minorBidi"/>
              <w:b w:val="0"/>
              <w:bCs w:val="0"/>
              <w:i w:val="0"/>
              <w:iCs w:val="0"/>
              <w:noProof/>
              <w:sz w:val="22"/>
              <w:szCs w:val="22"/>
              <w:lang w:eastAsia="en-GB"/>
            </w:rPr>
          </w:pPr>
          <w:r w:rsidRPr="008C0D55">
            <w:rPr>
              <w:rStyle w:val="Hyperlink"/>
              <w:i w:val="0"/>
              <w:iCs w:val="0"/>
              <w:noProof/>
              <w:color w:val="auto"/>
              <w:sz w:val="22"/>
              <w:szCs w:val="22"/>
            </w:rPr>
            <w:t>Technical details on the quantitative dual-energy computed tomography acquisition and analysis</w:t>
          </w:r>
          <w:r w:rsidRPr="008C0D55">
            <w:rPr>
              <w:i w:val="0"/>
              <w:iCs w:val="0"/>
              <w:noProof/>
              <w:webHidden/>
              <w:sz w:val="22"/>
              <w:szCs w:val="22"/>
            </w:rPr>
            <w:tab/>
            <w:t>2</w:t>
          </w:r>
        </w:p>
        <w:p w14:paraId="56471EF6" w14:textId="297E80A4" w:rsidR="00F564B0" w:rsidRPr="008C0D55" w:rsidRDefault="00F564B0" w:rsidP="00F564B0">
          <w:pPr>
            <w:pStyle w:val="TOC2"/>
            <w:ind w:firstLine="0"/>
            <w:rPr>
              <w:rFonts w:cstheme="minorBidi"/>
              <w:i w:val="0"/>
              <w:iCs w:val="0"/>
              <w:sz w:val="22"/>
              <w:szCs w:val="22"/>
              <w:lang w:eastAsia="en-GB"/>
            </w:rPr>
          </w:pPr>
          <w:r w:rsidRPr="008C0D55">
            <w:rPr>
              <w:rStyle w:val="Hyperlink"/>
              <w:i w:val="0"/>
              <w:iCs w:val="0"/>
              <w:color w:val="auto"/>
              <w:sz w:val="18"/>
              <w:szCs w:val="18"/>
            </w:rPr>
            <w:t>Computational details</w:t>
          </w:r>
          <w:r w:rsidRPr="008C0D55">
            <w:rPr>
              <w:i w:val="0"/>
              <w:iCs w:val="0"/>
              <w:webHidden/>
              <w:sz w:val="18"/>
              <w:szCs w:val="18"/>
            </w:rPr>
            <w:tab/>
            <w:t>4</w:t>
          </w:r>
        </w:p>
        <w:p w14:paraId="017B975E" w14:textId="636D7F3E" w:rsidR="00F564B0" w:rsidRPr="008C0D55" w:rsidRDefault="00F564B0" w:rsidP="00F564B0">
          <w:pPr>
            <w:pStyle w:val="TOC1"/>
            <w:ind w:firstLine="0"/>
            <w:rPr>
              <w:rFonts w:cstheme="minorBidi"/>
              <w:b w:val="0"/>
              <w:bCs w:val="0"/>
              <w:i w:val="0"/>
              <w:iCs w:val="0"/>
              <w:noProof/>
              <w:sz w:val="22"/>
              <w:szCs w:val="22"/>
              <w:lang w:eastAsia="en-GB"/>
            </w:rPr>
          </w:pPr>
          <w:r w:rsidRPr="008C0D55">
            <w:rPr>
              <w:rStyle w:val="Hyperlink"/>
              <w:i w:val="0"/>
              <w:iCs w:val="0"/>
              <w:noProof/>
              <w:color w:val="auto"/>
              <w:sz w:val="22"/>
              <w:szCs w:val="22"/>
            </w:rPr>
            <w:t>eFigure 1: Ventral – dorsal analysis</w:t>
          </w:r>
          <w:r w:rsidRPr="008C0D55">
            <w:rPr>
              <w:i w:val="0"/>
              <w:iCs w:val="0"/>
              <w:noProof/>
              <w:webHidden/>
              <w:sz w:val="22"/>
              <w:szCs w:val="22"/>
            </w:rPr>
            <w:tab/>
            <w:t>7</w:t>
          </w:r>
        </w:p>
        <w:p w14:paraId="7D6A9602" w14:textId="2D91C280" w:rsidR="00F564B0" w:rsidRPr="008C0D55" w:rsidRDefault="00F564B0" w:rsidP="00F564B0">
          <w:pPr>
            <w:pStyle w:val="TOC1"/>
            <w:ind w:firstLine="0"/>
            <w:rPr>
              <w:rFonts w:cstheme="minorBidi"/>
              <w:b w:val="0"/>
              <w:bCs w:val="0"/>
              <w:i w:val="0"/>
              <w:iCs w:val="0"/>
              <w:noProof/>
              <w:sz w:val="22"/>
              <w:szCs w:val="22"/>
              <w:lang w:eastAsia="en-GB"/>
            </w:rPr>
          </w:pPr>
          <w:r w:rsidRPr="008C0D55">
            <w:rPr>
              <w:rStyle w:val="Hyperlink"/>
              <w:i w:val="0"/>
              <w:iCs w:val="0"/>
              <w:noProof/>
              <w:color w:val="auto"/>
              <w:sz w:val="22"/>
              <w:szCs w:val="22"/>
            </w:rPr>
            <w:t>eFigure 2: Apical – caudal analysis</w:t>
          </w:r>
          <w:r w:rsidRPr="008C0D55">
            <w:rPr>
              <w:i w:val="0"/>
              <w:iCs w:val="0"/>
              <w:noProof/>
              <w:webHidden/>
              <w:sz w:val="22"/>
              <w:szCs w:val="22"/>
            </w:rPr>
            <w:tab/>
            <w:t>8</w:t>
          </w:r>
        </w:p>
        <w:p w14:paraId="7D09D903" w14:textId="7589C00E" w:rsidR="00F564B0" w:rsidRPr="008C0D55" w:rsidRDefault="00F564B0" w:rsidP="00F564B0">
          <w:pPr>
            <w:pStyle w:val="TOC1"/>
            <w:ind w:firstLine="0"/>
            <w:rPr>
              <w:rFonts w:cstheme="minorBidi"/>
              <w:b w:val="0"/>
              <w:bCs w:val="0"/>
              <w:i w:val="0"/>
              <w:iCs w:val="0"/>
              <w:noProof/>
              <w:sz w:val="22"/>
              <w:szCs w:val="22"/>
              <w:lang w:eastAsia="en-GB"/>
            </w:rPr>
          </w:pPr>
          <w:r w:rsidRPr="008C0D55">
            <w:rPr>
              <w:rStyle w:val="Hyperlink"/>
              <w:i w:val="0"/>
              <w:iCs w:val="0"/>
              <w:noProof/>
              <w:color w:val="auto"/>
              <w:sz w:val="22"/>
              <w:szCs w:val="22"/>
            </w:rPr>
            <w:t>eFigure 3: Regional distribution of pulmonary blood volume</w:t>
          </w:r>
          <w:r w:rsidRPr="008C0D55">
            <w:rPr>
              <w:i w:val="0"/>
              <w:iCs w:val="0"/>
              <w:noProof/>
              <w:webHidden/>
              <w:sz w:val="22"/>
              <w:szCs w:val="22"/>
            </w:rPr>
            <w:tab/>
            <w:t>9</w:t>
          </w:r>
        </w:p>
        <w:p w14:paraId="7DD7516E" w14:textId="5DDEF2CE" w:rsidR="00F564B0" w:rsidRPr="008C0D55" w:rsidRDefault="00F564B0" w:rsidP="00F564B0">
          <w:pPr>
            <w:pStyle w:val="TOC1"/>
            <w:ind w:firstLine="0"/>
            <w:rPr>
              <w:rFonts w:cstheme="minorBidi"/>
              <w:b w:val="0"/>
              <w:bCs w:val="0"/>
              <w:i w:val="0"/>
              <w:iCs w:val="0"/>
              <w:noProof/>
              <w:sz w:val="22"/>
              <w:szCs w:val="22"/>
              <w:lang w:eastAsia="en-GB"/>
            </w:rPr>
          </w:pPr>
          <w:r w:rsidRPr="008C0D55">
            <w:rPr>
              <w:rStyle w:val="Hyperlink"/>
              <w:i w:val="0"/>
              <w:iCs w:val="0"/>
              <w:noProof/>
              <w:color w:val="auto"/>
              <w:sz w:val="22"/>
              <w:szCs w:val="22"/>
            </w:rPr>
            <w:t>eTable 1: Linear regression of PaO</w:t>
          </w:r>
          <w:r w:rsidRPr="008C0D55">
            <w:rPr>
              <w:rStyle w:val="Hyperlink"/>
              <w:i w:val="0"/>
              <w:iCs w:val="0"/>
              <w:noProof/>
              <w:color w:val="auto"/>
              <w:sz w:val="22"/>
              <w:szCs w:val="22"/>
              <w:vertAlign w:val="subscript"/>
            </w:rPr>
            <w:t>2</w:t>
          </w:r>
          <w:r w:rsidRPr="008C0D55">
            <w:rPr>
              <w:rStyle w:val="Hyperlink"/>
              <w:i w:val="0"/>
              <w:iCs w:val="0"/>
              <w:noProof/>
              <w:color w:val="auto"/>
              <w:sz w:val="22"/>
              <w:szCs w:val="22"/>
            </w:rPr>
            <w:t>/FiO</w:t>
          </w:r>
          <w:r w:rsidRPr="008C0D55">
            <w:rPr>
              <w:rStyle w:val="Hyperlink"/>
              <w:i w:val="0"/>
              <w:iCs w:val="0"/>
              <w:noProof/>
              <w:color w:val="auto"/>
              <w:sz w:val="22"/>
              <w:szCs w:val="22"/>
              <w:vertAlign w:val="subscript"/>
            </w:rPr>
            <w:t>2</w:t>
          </w:r>
          <w:r w:rsidRPr="008C0D55">
            <w:rPr>
              <w:rStyle w:val="Hyperlink"/>
              <w:i w:val="0"/>
              <w:iCs w:val="0"/>
              <w:noProof/>
              <w:color w:val="auto"/>
              <w:sz w:val="22"/>
              <w:szCs w:val="22"/>
            </w:rPr>
            <w:t xml:space="preserve"> as function of </w:t>
          </w:r>
          <w:r w:rsidRPr="008C0D55">
            <w:rPr>
              <w:rStyle w:val="Hyperlink"/>
              <w:rFonts w:cs="Times New Roman (Headings CS)"/>
              <w:i w:val="0"/>
              <w:iCs w:val="0"/>
              <w:noProof/>
              <w:color w:val="auto"/>
              <w:sz w:val="22"/>
              <w:szCs w:val="22"/>
            </w:rPr>
            <w:t>gas:blood</w:t>
          </w:r>
          <w:r w:rsidRPr="008C0D55">
            <w:rPr>
              <w:rStyle w:val="Hyperlink"/>
              <w:i w:val="0"/>
              <w:iCs w:val="0"/>
              <w:noProof/>
              <w:color w:val="auto"/>
              <w:sz w:val="22"/>
              <w:szCs w:val="22"/>
            </w:rPr>
            <w:t xml:space="preserve"> matching</w:t>
          </w:r>
          <w:r w:rsidRPr="008C0D55">
            <w:rPr>
              <w:i w:val="0"/>
              <w:iCs w:val="0"/>
              <w:noProof/>
              <w:webHidden/>
              <w:sz w:val="22"/>
              <w:szCs w:val="22"/>
            </w:rPr>
            <w:tab/>
            <w:t>10</w:t>
          </w:r>
        </w:p>
        <w:p w14:paraId="485BE737" w14:textId="616A2DD9" w:rsidR="00F564B0" w:rsidRPr="008C0D55" w:rsidRDefault="00F564B0" w:rsidP="00F564B0">
          <w:pPr>
            <w:pStyle w:val="TOC1"/>
            <w:ind w:firstLine="0"/>
            <w:rPr>
              <w:rFonts w:cstheme="minorBidi"/>
              <w:b w:val="0"/>
              <w:bCs w:val="0"/>
              <w:i w:val="0"/>
              <w:iCs w:val="0"/>
              <w:noProof/>
              <w:sz w:val="22"/>
              <w:szCs w:val="22"/>
              <w:lang w:eastAsia="en-GB"/>
            </w:rPr>
          </w:pPr>
          <w:r w:rsidRPr="008C0D55">
            <w:rPr>
              <w:rStyle w:val="Hyperlink"/>
              <w:i w:val="0"/>
              <w:iCs w:val="0"/>
              <w:noProof/>
              <w:color w:val="auto"/>
              <w:sz w:val="22"/>
              <w:szCs w:val="22"/>
            </w:rPr>
            <w:t>References</w:t>
          </w:r>
          <w:r w:rsidRPr="008C0D55">
            <w:rPr>
              <w:i w:val="0"/>
              <w:iCs w:val="0"/>
              <w:noProof/>
              <w:webHidden/>
              <w:sz w:val="22"/>
              <w:szCs w:val="22"/>
            </w:rPr>
            <w:tab/>
            <w:t>11</w:t>
          </w:r>
        </w:p>
        <w:p w14:paraId="674854B5" w14:textId="665BF815" w:rsidR="00AA585C" w:rsidRPr="008C0D55" w:rsidRDefault="008C0D55" w:rsidP="00BC5E79">
          <w:pPr>
            <w:spacing w:line="360" w:lineRule="auto"/>
            <w:rPr>
              <w:sz w:val="20"/>
              <w:szCs w:val="20"/>
            </w:rPr>
          </w:pPr>
        </w:p>
      </w:sdtContent>
    </w:sdt>
    <w:p w14:paraId="0AD51132" w14:textId="77777777" w:rsidR="00AA585C" w:rsidRPr="008C0D55" w:rsidRDefault="00AA585C">
      <w:pPr>
        <w:jc w:val="left"/>
        <w:rPr>
          <w:rFonts w:ascii="Arial" w:eastAsia="Arial Unicode MS" w:hAnsi="Arial" w:cs="Arial Unicode MS"/>
          <w:b/>
          <w:bCs/>
          <w:szCs w:val="24"/>
          <w:u w:color="000000"/>
          <w:bdr w:val="nil"/>
          <w:lang w:eastAsia="it-IT"/>
        </w:rPr>
      </w:pPr>
      <w:r w:rsidRPr="008C0D55">
        <w:rPr>
          <w:b/>
          <w:bCs/>
        </w:rPr>
        <w:br w:type="page"/>
      </w:r>
    </w:p>
    <w:p w14:paraId="65EA1F7B" w14:textId="1627F3C9" w:rsidR="00AE2C58" w:rsidRPr="008C0D55" w:rsidRDefault="00AE2C58" w:rsidP="00BC5E79">
      <w:pPr>
        <w:pStyle w:val="Heading1"/>
      </w:pPr>
      <w:bookmarkStart w:id="0" w:name="_Toc70700754"/>
      <w:r w:rsidRPr="008C0D55">
        <w:lastRenderedPageBreak/>
        <w:t>Clinical context and ratio</w:t>
      </w:r>
      <w:bookmarkStart w:id="1" w:name="_GoBack"/>
      <w:bookmarkEnd w:id="1"/>
      <w:r w:rsidRPr="008C0D55">
        <w:t>nale for the use of DECT</w:t>
      </w:r>
      <w:bookmarkEnd w:id="0"/>
    </w:p>
    <w:p w14:paraId="3282A7BD" w14:textId="366C7BCD" w:rsidR="00AE2C58" w:rsidRPr="008C0D55" w:rsidRDefault="00AE2C58" w:rsidP="00AE2C58">
      <w:r w:rsidRPr="008C0D55">
        <w:t>The first critically ill COVID-19 patient was admitted to our ICU on February 29</w:t>
      </w:r>
      <w:r w:rsidRPr="008C0D55">
        <w:rPr>
          <w:vertAlign w:val="superscript"/>
        </w:rPr>
        <w:t>th</w:t>
      </w:r>
      <w:r w:rsidRPr="008C0D55">
        <w:t>, 2020, in the context of a national emergency and with a paucity of medical literature concerning the disease. In the following weeks, we observed several cases of both massive and segmental pulmonary embolism, confirmed by contrast-enhanced CT and associated with high morbidity and mortality. Moreover, we noticed a high prevalence of elevated D-dimer levels even in patients without clear evidence of pulmonary embolism, a finding later confirmed by reports from Wuhan, China.</w:t>
      </w:r>
      <w:r w:rsidRPr="008C0D55">
        <w:rPr>
          <w:rFonts w:ascii="Arial" w:cs="Arial"/>
        </w:rPr>
        <w:t>(1)</w:t>
      </w:r>
      <w:r w:rsidRPr="008C0D55">
        <w:t xml:space="preserve"> For these reasons, we decided to include DECT scan as part of the clinical workup of critically ill patients with COVID-19. The study was performed in a 26-bed ICU, expanded during the peak phase</w:t>
      </w:r>
      <w:r w:rsidRPr="008C0D55" w:rsidDel="000A14A7">
        <w:t xml:space="preserve"> </w:t>
      </w:r>
      <w:r w:rsidRPr="008C0D55">
        <w:t xml:space="preserve">to 39 ICU beds plus 8 </w:t>
      </w:r>
      <w:r w:rsidR="00F4236B" w:rsidRPr="008C0D55">
        <w:t xml:space="preserve">high-dependency </w:t>
      </w:r>
      <w:r w:rsidRPr="008C0D55">
        <w:t>beds.</w:t>
      </w:r>
    </w:p>
    <w:p w14:paraId="468FE6E0" w14:textId="77777777" w:rsidR="00AE2C58" w:rsidRPr="008C0D55" w:rsidRDefault="00AE2C58" w:rsidP="00BC5E79">
      <w:pPr>
        <w:pStyle w:val="Heading1"/>
      </w:pPr>
      <w:bookmarkStart w:id="2" w:name="_Toc70700755"/>
      <w:r w:rsidRPr="008C0D55">
        <w:t>Clinical indications for lung DECT scan</w:t>
      </w:r>
      <w:bookmarkEnd w:id="2"/>
    </w:p>
    <w:p w14:paraId="1998F3D2" w14:textId="0143E659" w:rsidR="00AE2C58" w:rsidRPr="008C0D55" w:rsidRDefault="00AE2C58" w:rsidP="00AE2C58">
      <w:r w:rsidRPr="008C0D55">
        <w:t>Intensivists involved in clinical management ordered lung DECT scan in the following situations: 1) to guide mechanical ventilation and anticoagulation strategies</w:t>
      </w:r>
      <w:r w:rsidR="00F4236B" w:rsidRPr="008C0D55">
        <w:t>;</w:t>
      </w:r>
      <w:r w:rsidRPr="008C0D55">
        <w:t xml:space="preserve"> 2) in the presence of worsening gas exchange</w:t>
      </w:r>
      <w:r w:rsidR="00F4236B" w:rsidRPr="008C0D55">
        <w:t>;</w:t>
      </w:r>
      <w:r w:rsidRPr="008C0D55">
        <w:t xml:space="preserve"> 3) clinical suspicion of right heart failure and/or a steep increase in D-dimer levels</w:t>
      </w:r>
      <w:r w:rsidR="00F4236B" w:rsidRPr="008C0D55">
        <w:t xml:space="preserve">; </w:t>
      </w:r>
      <w:r w:rsidRPr="008C0D55">
        <w:t>or 4) persistence of high D-dimer levels despite adequate anticoagulant therapy. We excluded patients with absolute contraindications to iodinated contrast medium exposure, as well as those judged too unstable to be safely transported to the CT facility.</w:t>
      </w:r>
    </w:p>
    <w:p w14:paraId="3087055F" w14:textId="623B7ABC" w:rsidR="006678EF" w:rsidRPr="008C0D55" w:rsidRDefault="006678EF" w:rsidP="00BC5E79">
      <w:pPr>
        <w:pStyle w:val="Heading1"/>
      </w:pPr>
      <w:bookmarkStart w:id="3" w:name="_Toc70700756"/>
      <w:r w:rsidRPr="008C0D55">
        <w:t>Technical details on the quantitative dual</w:t>
      </w:r>
      <w:r w:rsidR="00AB28CA" w:rsidRPr="008C0D55">
        <w:t>-</w:t>
      </w:r>
      <w:r w:rsidRPr="008C0D55">
        <w:t>energy computed tomography</w:t>
      </w:r>
      <w:r w:rsidR="00A24C3C" w:rsidRPr="008C0D55">
        <w:t xml:space="preserve"> acquisition and </w:t>
      </w:r>
      <w:r w:rsidRPr="008C0D55">
        <w:t>analysis</w:t>
      </w:r>
      <w:bookmarkEnd w:id="3"/>
    </w:p>
    <w:p w14:paraId="4026AF72" w14:textId="67167F72" w:rsidR="00996C39" w:rsidRPr="008C0D55" w:rsidRDefault="00996C39" w:rsidP="001F3C94">
      <w:pPr>
        <w:ind w:firstLine="0"/>
        <w:rPr>
          <w:rFonts w:asciiTheme="majorHAnsi" w:hAnsiTheme="majorHAnsi" w:cstheme="majorHAnsi"/>
          <w:szCs w:val="24"/>
        </w:rPr>
      </w:pPr>
      <w:r w:rsidRPr="008C0D55">
        <w:rPr>
          <w:rFonts w:asciiTheme="majorHAnsi" w:hAnsiTheme="majorHAnsi" w:cstheme="majorHAnsi"/>
          <w:szCs w:val="24"/>
        </w:rPr>
        <w:t>Dual-energy CT images were acquired using a dual-source scanner (Siemens Somatom Flash</w:t>
      </w:r>
      <w:r w:rsidR="00A24C3C" w:rsidRPr="008C0D55">
        <w:rPr>
          <w:rFonts w:asciiTheme="majorHAnsi" w:hAnsiTheme="majorHAnsi" w:cstheme="majorHAnsi"/>
          <w:szCs w:val="24"/>
        </w:rPr>
        <w:t>,</w:t>
      </w:r>
      <w:r w:rsidR="00A24C3C" w:rsidRPr="008C0D55">
        <w:rPr>
          <w:rFonts w:asciiTheme="majorHAnsi" w:hAnsiTheme="majorHAnsi"/>
          <w:bCs/>
        </w:rPr>
        <w:t xml:space="preserve"> Erlangen, Germany</w:t>
      </w:r>
      <w:r w:rsidRPr="008C0D55">
        <w:rPr>
          <w:rFonts w:asciiTheme="majorHAnsi" w:hAnsiTheme="majorHAnsi" w:cstheme="majorHAnsi"/>
          <w:szCs w:val="24"/>
        </w:rPr>
        <w:t>) with simultaneous low-energy (80 kV</w:t>
      </w:r>
      <w:r w:rsidR="00AE2C58" w:rsidRPr="008C0D55">
        <w:rPr>
          <w:rFonts w:asciiTheme="majorHAnsi" w:hAnsiTheme="majorHAnsi" w:cstheme="majorHAnsi"/>
          <w:szCs w:val="24"/>
        </w:rPr>
        <w:t>p</w:t>
      </w:r>
      <w:r w:rsidR="00A24C3C" w:rsidRPr="008C0D55">
        <w:rPr>
          <w:rFonts w:asciiTheme="majorHAnsi" w:hAnsiTheme="majorHAnsi" w:cstheme="majorHAnsi"/>
          <w:szCs w:val="24"/>
        </w:rPr>
        <w:t xml:space="preserve"> or 100 kVp</w:t>
      </w:r>
      <w:r w:rsidRPr="008C0D55">
        <w:rPr>
          <w:rFonts w:asciiTheme="majorHAnsi" w:hAnsiTheme="majorHAnsi" w:cstheme="majorHAnsi"/>
          <w:szCs w:val="24"/>
        </w:rPr>
        <w:t>) and high-energy (140 kVp) acquisitions.</w:t>
      </w:r>
      <w:r w:rsidR="00A24C3C" w:rsidRPr="008C0D55">
        <w:rPr>
          <w:rFonts w:asciiTheme="majorHAnsi" w:hAnsiTheme="majorHAnsi"/>
          <w:bCs/>
        </w:rPr>
        <w:t xml:space="preserve"> The scan was triggered by monitoring </w:t>
      </w:r>
      <w:r w:rsidR="00A24C3C" w:rsidRPr="008C0D55">
        <w:rPr>
          <w:rFonts w:asciiTheme="majorHAnsi" w:hAnsiTheme="majorHAnsi"/>
          <w:bCs/>
        </w:rPr>
        <w:lastRenderedPageBreak/>
        <w:t xml:space="preserve">the pulmonary trunk enhancement (sensitivity, 100 HU), with a delay of 7 s to allow iodine distribution into the pulmonary vessels and was performed in the caudocranial direction </w:t>
      </w:r>
      <w:r w:rsidR="00A24C3C" w:rsidRPr="008C0D55">
        <w:rPr>
          <w:rFonts w:asciiTheme="majorHAnsi" w:hAnsiTheme="majorHAnsi"/>
        </w:rPr>
        <w:t>to minimize streak artifacts in the superior cava and subclavian veins. Whole-lung images were acquired. Images were reconstructed with slice thickness 2 mm, increment 1.5 mm, and kernel D30f with separate reconstructions at 80</w:t>
      </w:r>
      <w:r w:rsidR="00415A2B" w:rsidRPr="008C0D55">
        <w:rPr>
          <w:rFonts w:asciiTheme="majorHAnsi" w:hAnsiTheme="majorHAnsi"/>
        </w:rPr>
        <w:t>/100</w:t>
      </w:r>
      <w:r w:rsidR="00A24C3C" w:rsidRPr="008C0D55">
        <w:rPr>
          <w:rFonts w:asciiTheme="majorHAnsi" w:hAnsiTheme="majorHAnsi"/>
        </w:rPr>
        <w:t xml:space="preserve"> and 140 kV.</w:t>
      </w:r>
      <w:r w:rsidRPr="008C0D55">
        <w:rPr>
          <w:rFonts w:asciiTheme="majorHAnsi" w:hAnsiTheme="majorHAnsi" w:cstheme="majorHAnsi"/>
          <w:szCs w:val="24"/>
        </w:rPr>
        <w:t xml:space="preserve"> Lung segmentation was performed automatically on the high-energy image using a multi-resolution convolutional neural network</w:t>
      </w:r>
      <w:r w:rsidR="00AE2C58" w:rsidRPr="008C0D55">
        <w:rPr>
          <w:rFonts w:asciiTheme="majorHAnsi" w:hAnsiTheme="majorHAnsi" w:cstheme="majorHAnsi"/>
          <w:szCs w:val="24"/>
        </w:rPr>
        <w:t>(2)</w:t>
      </w:r>
      <w:r w:rsidR="00460805" w:rsidRPr="008C0D55">
        <w:rPr>
          <w:rFonts w:asciiTheme="majorHAnsi" w:hAnsiTheme="majorHAnsi" w:cstheme="majorHAnsi"/>
          <w:szCs w:val="24"/>
        </w:rPr>
        <w:t xml:space="preserve"> </w:t>
      </w:r>
      <w:r w:rsidRPr="008C0D55">
        <w:rPr>
          <w:rFonts w:asciiTheme="majorHAnsi" w:hAnsiTheme="majorHAnsi" w:cstheme="majorHAnsi"/>
          <w:szCs w:val="24"/>
        </w:rPr>
        <w:t xml:space="preserve">with exclusion </w:t>
      </w:r>
      <w:r w:rsidR="00AB28CA" w:rsidRPr="008C0D55">
        <w:rPr>
          <w:rFonts w:asciiTheme="majorHAnsi" w:hAnsiTheme="majorHAnsi" w:cstheme="majorHAnsi"/>
          <w:szCs w:val="24"/>
        </w:rPr>
        <w:t xml:space="preserve">of </w:t>
      </w:r>
      <w:r w:rsidRPr="008C0D55">
        <w:rPr>
          <w:rFonts w:asciiTheme="majorHAnsi" w:hAnsiTheme="majorHAnsi" w:cstheme="majorHAnsi"/>
          <w:szCs w:val="24"/>
        </w:rPr>
        <w:t>airways, followed by manual refinement as necessary.</w:t>
      </w:r>
      <w:r w:rsidR="00AB28CA" w:rsidRPr="008C0D55">
        <w:rPr>
          <w:rFonts w:asciiTheme="majorHAnsi" w:hAnsiTheme="majorHAnsi" w:cstheme="majorHAnsi"/>
          <w:szCs w:val="24"/>
        </w:rPr>
        <w:t xml:space="preserve"> </w:t>
      </w:r>
      <w:r w:rsidRPr="008C0D55">
        <w:rPr>
          <w:rFonts w:asciiTheme="majorHAnsi" w:hAnsiTheme="majorHAnsi" w:cstheme="majorHAnsi"/>
          <w:szCs w:val="24"/>
        </w:rPr>
        <w:t>Pulmonary vessels were segmented from the low-energy image by another convolutional neural network and excluded from the lung mask.</w:t>
      </w:r>
    </w:p>
    <w:p w14:paraId="2725894C" w14:textId="118EE2E7" w:rsidR="00996C39" w:rsidRPr="008C0D55" w:rsidRDefault="00996C39" w:rsidP="001F3C94">
      <w:pPr>
        <w:rPr>
          <w:rFonts w:asciiTheme="majorHAnsi" w:hAnsiTheme="majorHAnsi" w:cstheme="majorHAnsi"/>
          <w:szCs w:val="24"/>
        </w:rPr>
      </w:pPr>
      <w:r w:rsidRPr="008C0D55">
        <w:rPr>
          <w:rFonts w:asciiTheme="majorHAnsi" w:hAnsiTheme="majorHAnsi" w:cstheme="majorHAnsi"/>
          <w:szCs w:val="24"/>
        </w:rPr>
        <w:t>Spatial distribution of pulmonary blood volume (PBV) within the lung mask was computed using a three-material decomposition algorithm</w:t>
      </w:r>
      <w:r w:rsidR="00AE2C58" w:rsidRPr="008C0D55">
        <w:rPr>
          <w:rFonts w:asciiTheme="majorHAnsi" w:hAnsiTheme="majorHAnsi" w:cstheme="majorHAnsi"/>
          <w:szCs w:val="24"/>
        </w:rPr>
        <w:t>(3)</w:t>
      </w:r>
      <w:r w:rsidRPr="008C0D55">
        <w:rPr>
          <w:rFonts w:asciiTheme="majorHAnsi" w:hAnsiTheme="majorHAnsi" w:cstheme="majorHAnsi"/>
          <w:szCs w:val="24"/>
        </w:rPr>
        <w:t>.</w:t>
      </w:r>
      <w:r w:rsidR="00AB28CA" w:rsidRPr="008C0D55">
        <w:rPr>
          <w:rFonts w:asciiTheme="majorHAnsi" w:hAnsiTheme="majorHAnsi" w:cstheme="majorHAnsi"/>
          <w:szCs w:val="24"/>
        </w:rPr>
        <w:t xml:space="preserve"> </w:t>
      </w:r>
      <w:r w:rsidRPr="008C0D55">
        <w:rPr>
          <w:rFonts w:asciiTheme="majorHAnsi" w:hAnsiTheme="majorHAnsi" w:cstheme="majorHAnsi"/>
          <w:szCs w:val="24"/>
        </w:rPr>
        <w:t>Low- and high-energy CT images were first passed through a 3</w:t>
      </w:r>
      <w:r w:rsidR="00AB28CA" w:rsidRPr="008C0D55">
        <w:rPr>
          <w:rFonts w:asciiTheme="majorHAnsi" w:hAnsiTheme="majorHAnsi" w:cstheme="majorHAnsi"/>
          <w:szCs w:val="24"/>
        </w:rPr>
        <w:t>×</w:t>
      </w:r>
      <w:r w:rsidRPr="008C0D55">
        <w:rPr>
          <w:rFonts w:asciiTheme="majorHAnsi" w:hAnsiTheme="majorHAnsi" w:cstheme="majorHAnsi"/>
          <w:szCs w:val="24"/>
        </w:rPr>
        <w:t>3</w:t>
      </w:r>
      <w:r w:rsidR="00AB28CA" w:rsidRPr="008C0D55">
        <w:rPr>
          <w:rFonts w:asciiTheme="majorHAnsi" w:hAnsiTheme="majorHAnsi" w:cstheme="majorHAnsi"/>
          <w:szCs w:val="24"/>
        </w:rPr>
        <w:t>×</w:t>
      </w:r>
      <w:r w:rsidRPr="008C0D55">
        <w:rPr>
          <w:rFonts w:asciiTheme="majorHAnsi" w:hAnsiTheme="majorHAnsi" w:cstheme="majorHAnsi"/>
          <w:szCs w:val="24"/>
        </w:rPr>
        <w:t>3 mean filter to reduce image noise.</w:t>
      </w:r>
      <w:r w:rsidR="00AB28CA" w:rsidRPr="008C0D55">
        <w:rPr>
          <w:rFonts w:asciiTheme="majorHAnsi" w:hAnsiTheme="majorHAnsi" w:cstheme="majorHAnsi"/>
          <w:szCs w:val="24"/>
        </w:rPr>
        <w:t xml:space="preserve"> </w:t>
      </w:r>
      <w:r w:rsidRPr="008C0D55">
        <w:rPr>
          <w:rFonts w:asciiTheme="majorHAnsi" w:hAnsiTheme="majorHAnsi" w:cstheme="majorHAnsi"/>
          <w:szCs w:val="24"/>
        </w:rPr>
        <w:t>Every lung voxel in dual-energy space was represented by two components: 1) a virtual non</w:t>
      </w:r>
      <w:r w:rsidR="004E66C2" w:rsidRPr="008C0D55">
        <w:rPr>
          <w:rFonts w:asciiTheme="majorHAnsi" w:hAnsiTheme="majorHAnsi" w:cstheme="majorHAnsi"/>
          <w:szCs w:val="24"/>
        </w:rPr>
        <w:t>-</w:t>
      </w:r>
      <w:r w:rsidRPr="008C0D55">
        <w:rPr>
          <w:rFonts w:asciiTheme="majorHAnsi" w:hAnsiTheme="majorHAnsi" w:cstheme="majorHAnsi"/>
          <w:szCs w:val="24"/>
        </w:rPr>
        <w:t>contrast (VNC) component along an axis between points corresponding to pure air (-1000 HU at all energy levels) and pure soft tissue (60 HU at 80</w:t>
      </w:r>
      <w:r w:rsidR="00AB28CA" w:rsidRPr="008C0D55">
        <w:rPr>
          <w:rFonts w:asciiTheme="majorHAnsi" w:hAnsiTheme="majorHAnsi" w:cstheme="majorHAnsi"/>
          <w:szCs w:val="24"/>
        </w:rPr>
        <w:t> </w:t>
      </w:r>
      <w:r w:rsidRPr="008C0D55">
        <w:rPr>
          <w:rFonts w:asciiTheme="majorHAnsi" w:hAnsiTheme="majorHAnsi" w:cstheme="majorHAnsi"/>
          <w:szCs w:val="24"/>
        </w:rPr>
        <w:t>kVp, 57 HU at 100</w:t>
      </w:r>
      <w:r w:rsidR="00AB28CA" w:rsidRPr="008C0D55">
        <w:rPr>
          <w:rFonts w:asciiTheme="majorHAnsi" w:hAnsiTheme="majorHAnsi" w:cstheme="majorHAnsi"/>
          <w:szCs w:val="24"/>
        </w:rPr>
        <w:t> </w:t>
      </w:r>
      <w:r w:rsidRPr="008C0D55">
        <w:rPr>
          <w:rFonts w:asciiTheme="majorHAnsi" w:hAnsiTheme="majorHAnsi" w:cstheme="majorHAnsi"/>
          <w:szCs w:val="24"/>
        </w:rPr>
        <w:t>kVp, and 55 HU at 140</w:t>
      </w:r>
      <w:r w:rsidR="00AB28CA" w:rsidRPr="008C0D55">
        <w:rPr>
          <w:rFonts w:asciiTheme="majorHAnsi" w:hAnsiTheme="majorHAnsi" w:cstheme="majorHAnsi"/>
          <w:szCs w:val="24"/>
        </w:rPr>
        <w:t> </w:t>
      </w:r>
      <w:r w:rsidRPr="008C0D55">
        <w:rPr>
          <w:rFonts w:asciiTheme="majorHAnsi" w:hAnsiTheme="majorHAnsi" w:cstheme="majorHAnsi"/>
          <w:szCs w:val="24"/>
        </w:rPr>
        <w:t>kVp); and 2) a deviation from the air-soft-tissue axis representing enhancement due to contrast material.</w:t>
      </w:r>
      <w:r w:rsidR="00AB28CA" w:rsidRPr="008C0D55">
        <w:rPr>
          <w:rFonts w:asciiTheme="majorHAnsi" w:hAnsiTheme="majorHAnsi" w:cstheme="majorHAnsi"/>
          <w:szCs w:val="24"/>
        </w:rPr>
        <w:t xml:space="preserve"> </w:t>
      </w:r>
      <w:r w:rsidRPr="008C0D55">
        <w:rPr>
          <w:rFonts w:asciiTheme="majorHAnsi" w:hAnsiTheme="majorHAnsi" w:cstheme="majorHAnsi"/>
          <w:szCs w:val="24"/>
        </w:rPr>
        <w:t xml:space="preserve">The iodine </w:t>
      </w:r>
      <w:r w:rsidR="0052561C" w:rsidRPr="008C0D55">
        <w:rPr>
          <w:rFonts w:asciiTheme="majorHAnsi" w:hAnsiTheme="majorHAnsi" w:cstheme="majorHAnsi"/>
          <w:szCs w:val="24"/>
        </w:rPr>
        <w:t>dual-energy</w:t>
      </w:r>
      <w:r w:rsidRPr="008C0D55">
        <w:rPr>
          <w:rFonts w:asciiTheme="majorHAnsi" w:hAnsiTheme="majorHAnsi" w:cstheme="majorHAnsi"/>
          <w:szCs w:val="24"/>
        </w:rPr>
        <w:t xml:space="preserve"> ratio (i.e., the ratio of low- to high-energy enhancement) was assumed to be 3.01 for 80</w:t>
      </w:r>
      <w:r w:rsidR="00AB28CA" w:rsidRPr="008C0D55">
        <w:rPr>
          <w:rFonts w:asciiTheme="majorHAnsi" w:hAnsiTheme="majorHAnsi" w:cstheme="majorHAnsi"/>
          <w:szCs w:val="24"/>
        </w:rPr>
        <w:t> </w:t>
      </w:r>
      <w:r w:rsidRPr="008C0D55">
        <w:rPr>
          <w:rFonts w:asciiTheme="majorHAnsi" w:hAnsiTheme="majorHAnsi" w:cstheme="majorHAnsi"/>
          <w:szCs w:val="24"/>
        </w:rPr>
        <w:t>kV/Sn140</w:t>
      </w:r>
      <w:r w:rsidR="00F4236B" w:rsidRPr="008C0D55">
        <w:rPr>
          <w:rFonts w:asciiTheme="majorHAnsi" w:hAnsiTheme="majorHAnsi" w:cstheme="majorHAnsi"/>
          <w:szCs w:val="24"/>
        </w:rPr>
        <w:t> </w:t>
      </w:r>
      <w:r w:rsidRPr="008C0D55">
        <w:rPr>
          <w:rFonts w:asciiTheme="majorHAnsi" w:hAnsiTheme="majorHAnsi" w:cstheme="majorHAnsi"/>
          <w:szCs w:val="24"/>
        </w:rPr>
        <w:t>kV image pairs, and 2.24 for 100</w:t>
      </w:r>
      <w:r w:rsidR="00AB28CA" w:rsidRPr="008C0D55">
        <w:rPr>
          <w:rFonts w:asciiTheme="majorHAnsi" w:hAnsiTheme="majorHAnsi" w:cstheme="majorHAnsi"/>
          <w:szCs w:val="24"/>
        </w:rPr>
        <w:t> </w:t>
      </w:r>
      <w:r w:rsidRPr="008C0D55">
        <w:rPr>
          <w:rFonts w:asciiTheme="majorHAnsi" w:hAnsiTheme="majorHAnsi" w:cstheme="majorHAnsi"/>
          <w:szCs w:val="24"/>
        </w:rPr>
        <w:t>kV/Sn140</w:t>
      </w:r>
      <w:r w:rsidR="00AB28CA" w:rsidRPr="008C0D55">
        <w:rPr>
          <w:rFonts w:asciiTheme="majorHAnsi" w:hAnsiTheme="majorHAnsi" w:cstheme="majorHAnsi"/>
          <w:szCs w:val="24"/>
        </w:rPr>
        <w:t> </w:t>
      </w:r>
      <w:r w:rsidRPr="008C0D55">
        <w:rPr>
          <w:rFonts w:asciiTheme="majorHAnsi" w:hAnsiTheme="majorHAnsi" w:cstheme="majorHAnsi"/>
          <w:szCs w:val="24"/>
        </w:rPr>
        <w:t>kV image pairs.</w:t>
      </w:r>
      <w:r w:rsidR="00AB28CA" w:rsidRPr="008C0D55">
        <w:rPr>
          <w:rFonts w:asciiTheme="majorHAnsi" w:hAnsiTheme="majorHAnsi" w:cstheme="majorHAnsi"/>
          <w:szCs w:val="24"/>
        </w:rPr>
        <w:t xml:space="preserve"> </w:t>
      </w:r>
      <w:r w:rsidRPr="008C0D55">
        <w:rPr>
          <w:rFonts w:asciiTheme="majorHAnsi" w:hAnsiTheme="majorHAnsi" w:cstheme="majorHAnsi"/>
          <w:szCs w:val="24"/>
        </w:rPr>
        <w:t xml:space="preserve">The degree of contrast enhancement (i.e., the magnitude of the difference between the measured intensities and the VNC intensities) was assumed proportional to the amount of regional perfused blood volume (PBV) and correlated </w:t>
      </w:r>
      <w:r w:rsidR="00AB28CA" w:rsidRPr="008C0D55">
        <w:rPr>
          <w:rFonts w:asciiTheme="majorHAnsi" w:hAnsiTheme="majorHAnsi" w:cstheme="majorHAnsi"/>
          <w:szCs w:val="24"/>
        </w:rPr>
        <w:t xml:space="preserve">well </w:t>
      </w:r>
      <w:r w:rsidRPr="008C0D55">
        <w:rPr>
          <w:rFonts w:asciiTheme="majorHAnsi" w:hAnsiTheme="majorHAnsi" w:cstheme="majorHAnsi"/>
          <w:szCs w:val="24"/>
        </w:rPr>
        <w:t>with regional perfusion</w:t>
      </w:r>
      <w:r w:rsidR="00AE2C58" w:rsidRPr="008C0D55">
        <w:rPr>
          <w:rFonts w:asciiTheme="majorHAnsi" w:hAnsiTheme="majorHAnsi" w:cstheme="majorHAnsi"/>
          <w:szCs w:val="24"/>
        </w:rPr>
        <w:t>(4)</w:t>
      </w:r>
      <w:r w:rsidR="004A2704" w:rsidRPr="008C0D55">
        <w:rPr>
          <w:rFonts w:asciiTheme="majorHAnsi" w:hAnsiTheme="majorHAnsi" w:cstheme="majorHAnsi"/>
          <w:szCs w:val="24"/>
        </w:rPr>
        <w:t>.</w:t>
      </w:r>
    </w:p>
    <w:p w14:paraId="6610FD20" w14:textId="63DF20F8" w:rsidR="00996C39" w:rsidRPr="008C0D55" w:rsidRDefault="00996C39" w:rsidP="001F3C94">
      <w:pPr>
        <w:rPr>
          <w:rFonts w:asciiTheme="majorHAnsi" w:hAnsiTheme="majorHAnsi" w:cstheme="majorHAnsi"/>
          <w:szCs w:val="24"/>
        </w:rPr>
      </w:pPr>
      <w:r w:rsidRPr="008C0D55">
        <w:rPr>
          <w:rFonts w:asciiTheme="majorHAnsi" w:hAnsiTheme="majorHAnsi" w:cstheme="majorHAnsi"/>
          <w:szCs w:val="24"/>
        </w:rPr>
        <w:t>Whole-lung analysis of perfusion and aeration was performed on the entire lung mask.</w:t>
      </w:r>
      <w:r w:rsidR="00AB28CA" w:rsidRPr="008C0D55">
        <w:rPr>
          <w:rFonts w:asciiTheme="majorHAnsi" w:hAnsiTheme="majorHAnsi" w:cstheme="majorHAnsi"/>
          <w:szCs w:val="24"/>
        </w:rPr>
        <w:t xml:space="preserve"> </w:t>
      </w:r>
      <w:r w:rsidRPr="008C0D55">
        <w:rPr>
          <w:rFonts w:asciiTheme="majorHAnsi" w:hAnsiTheme="majorHAnsi" w:cstheme="majorHAnsi"/>
          <w:szCs w:val="24"/>
        </w:rPr>
        <w:t>Regional analyses were then performed on regions of interest (ROIs) with equal lung weight, partitioned by two planar cuts along either the dorsal-ventral axis or the cranial-caudal axis.</w:t>
      </w:r>
      <w:r w:rsidR="00AB28CA" w:rsidRPr="008C0D55">
        <w:rPr>
          <w:rFonts w:asciiTheme="majorHAnsi" w:hAnsiTheme="majorHAnsi" w:cstheme="majorHAnsi"/>
          <w:szCs w:val="24"/>
        </w:rPr>
        <w:t xml:space="preserve"> </w:t>
      </w:r>
      <w:r w:rsidRPr="008C0D55">
        <w:rPr>
          <w:rFonts w:asciiTheme="majorHAnsi" w:hAnsiTheme="majorHAnsi" w:cstheme="majorHAnsi"/>
          <w:szCs w:val="24"/>
        </w:rPr>
        <w:t>Lung weight was assumed proportional to the fraction of gas vs. soft tissue in each voxel, using the density of water as an approximation of soft tissue density</w:t>
      </w:r>
      <w:r w:rsidR="00AE2C58" w:rsidRPr="008C0D55">
        <w:rPr>
          <w:rFonts w:asciiTheme="majorHAnsi" w:hAnsiTheme="majorHAnsi" w:cstheme="majorHAnsi"/>
          <w:szCs w:val="24"/>
        </w:rPr>
        <w:t>(5)</w:t>
      </w:r>
      <w:r w:rsidR="004A2704" w:rsidRPr="008C0D55">
        <w:rPr>
          <w:rFonts w:asciiTheme="majorHAnsi" w:hAnsiTheme="majorHAnsi" w:cstheme="majorHAnsi"/>
          <w:szCs w:val="24"/>
        </w:rPr>
        <w:t>.</w:t>
      </w:r>
      <w:r w:rsidRPr="008C0D55">
        <w:rPr>
          <w:rFonts w:asciiTheme="majorHAnsi" w:hAnsiTheme="majorHAnsi" w:cstheme="majorHAnsi"/>
          <w:szCs w:val="24"/>
        </w:rPr>
        <w:t xml:space="preserve"> In each analysis, ROIs were further subdivided according to voxelwise aeration level, using standard thresholds (-900 HU, -500 HU, and -100 HU to delineate hyper-aerated, normal, poorly aerated, and non-aerated lung)</w:t>
      </w:r>
      <w:r w:rsidR="00AE2C58" w:rsidRPr="008C0D55">
        <w:rPr>
          <w:rFonts w:asciiTheme="majorHAnsi" w:hAnsiTheme="majorHAnsi" w:cstheme="majorHAnsi"/>
          <w:szCs w:val="24"/>
        </w:rPr>
        <w:t>(6)</w:t>
      </w:r>
      <w:r w:rsidR="004A2704" w:rsidRPr="008C0D55">
        <w:rPr>
          <w:rFonts w:asciiTheme="majorHAnsi" w:hAnsiTheme="majorHAnsi" w:cstheme="majorHAnsi"/>
          <w:szCs w:val="24"/>
        </w:rPr>
        <w:t>.</w:t>
      </w:r>
    </w:p>
    <w:p w14:paraId="6A6778B7" w14:textId="492B424D" w:rsidR="00996C39" w:rsidRPr="008C0D55" w:rsidRDefault="00996C39" w:rsidP="00BC5E79">
      <w:pPr>
        <w:pStyle w:val="Heading2"/>
      </w:pPr>
      <w:bookmarkStart w:id="4" w:name="_Toc70700757"/>
      <w:r w:rsidRPr="008C0D55">
        <w:t>Computational details</w:t>
      </w:r>
      <w:bookmarkEnd w:id="4"/>
    </w:p>
    <w:p w14:paraId="2F54FEE3" w14:textId="1DFE00B3" w:rsidR="00996C39" w:rsidRPr="008C0D55" w:rsidRDefault="00996C39" w:rsidP="001F3C94">
      <w:pPr>
        <w:rPr>
          <w:rFonts w:asciiTheme="majorHAnsi" w:hAnsiTheme="majorHAnsi" w:cstheme="majorHAnsi"/>
          <w:szCs w:val="24"/>
        </w:rPr>
      </w:pPr>
      <w:r w:rsidRPr="008C0D55">
        <w:rPr>
          <w:rFonts w:asciiTheme="majorHAnsi" w:hAnsiTheme="majorHAnsi" w:cstheme="majorHAnsi"/>
          <w:szCs w:val="24"/>
        </w:rPr>
        <w:t xml:space="preserve">Every voxel </w:t>
      </w:r>
      <m:oMath>
        <m:r>
          <w:rPr>
            <w:rFonts w:ascii="Cambria Math" w:hAnsi="Cambria Math" w:cstheme="majorHAnsi"/>
            <w:szCs w:val="24"/>
          </w:rPr>
          <m:t>x</m:t>
        </m:r>
      </m:oMath>
      <w:r w:rsidRPr="008C0D55">
        <w:rPr>
          <w:rFonts w:asciiTheme="majorHAnsi" w:hAnsiTheme="majorHAnsi" w:cstheme="majorHAnsi"/>
          <w:szCs w:val="24"/>
        </w:rPr>
        <w:t xml:space="preserve"> is represented by low- and high-energy CT intensities </w:t>
      </w:r>
      <m:oMath>
        <m:sSub>
          <m:sSubPr>
            <m:ctrlPr>
              <w:rPr>
                <w:rFonts w:ascii="Cambria Math" w:hAnsi="Cambria Math" w:cstheme="majorHAnsi"/>
                <w:i/>
                <w:szCs w:val="24"/>
              </w:rPr>
            </m:ctrlPr>
          </m:sSubPr>
          <m:e>
            <m: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L</m:t>
            </m:r>
          </m:sub>
        </m:sSub>
      </m:oMath>
      <w:r w:rsidRPr="008C0D55">
        <w:rPr>
          <w:rFonts w:asciiTheme="majorHAnsi" w:hAnsiTheme="majorHAnsi" w:cstheme="majorHAnsi"/>
          <w:szCs w:val="24"/>
        </w:rPr>
        <w:t xml:space="preserve"> and </w:t>
      </w:r>
      <m:oMath>
        <m:sSub>
          <m:sSubPr>
            <m:ctrlPr>
              <w:rPr>
                <w:rFonts w:ascii="Cambria Math" w:hAnsi="Cambria Math" w:cstheme="majorHAnsi"/>
                <w:i/>
                <w:szCs w:val="24"/>
              </w:rPr>
            </m:ctrlPr>
          </m:sSubPr>
          <m:e>
            <m: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H</m:t>
            </m:r>
          </m:sub>
        </m:sSub>
      </m:oMath>
      <w:r w:rsidRPr="008C0D55">
        <w:rPr>
          <w:rFonts w:asciiTheme="majorHAnsi" w:hAnsiTheme="majorHAnsi" w:cstheme="majorHAnsi"/>
          <w:szCs w:val="24"/>
        </w:rPr>
        <w:t>, respectively.</w:t>
      </w:r>
      <w:r w:rsidR="00AB28CA" w:rsidRPr="008C0D55">
        <w:rPr>
          <w:rFonts w:asciiTheme="majorHAnsi" w:hAnsiTheme="majorHAnsi" w:cstheme="majorHAnsi"/>
          <w:szCs w:val="24"/>
        </w:rPr>
        <w:t xml:space="preserve"> </w:t>
      </w:r>
      <w:r w:rsidRPr="008C0D55">
        <w:rPr>
          <w:rFonts w:asciiTheme="majorHAnsi" w:hAnsiTheme="majorHAnsi" w:cstheme="majorHAnsi"/>
          <w:szCs w:val="24"/>
        </w:rPr>
        <w:t xml:space="preserve">The material decomposition is represented by a system of equations representing measured intensities in terms of the fractional contributions from soft tissue </w:t>
      </w:r>
      <m:oMath>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S</m:t>
            </m:r>
          </m:sub>
        </m:sSub>
      </m:oMath>
      <w:r w:rsidRPr="008C0D55">
        <w:rPr>
          <w:rFonts w:asciiTheme="majorHAnsi" w:hAnsiTheme="majorHAnsi" w:cstheme="majorHAnsi"/>
          <w:szCs w:val="24"/>
        </w:rPr>
        <w:t xml:space="preserve"> (with low- and high-energy intensities </w:t>
      </w:r>
      <m:oMath>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S,L</m:t>
            </m:r>
          </m:sub>
        </m:sSub>
      </m:oMath>
      <w:r w:rsidRPr="008C0D55">
        <w:rPr>
          <w:rFonts w:asciiTheme="majorHAnsi" w:hAnsiTheme="majorHAnsi" w:cstheme="majorHAnsi"/>
          <w:szCs w:val="24"/>
        </w:rPr>
        <w:t xml:space="preserve"> and </w:t>
      </w:r>
      <m:oMath>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S,H</m:t>
            </m:r>
          </m:sub>
        </m:sSub>
      </m:oMath>
      <w:r w:rsidRPr="008C0D55">
        <w:rPr>
          <w:rFonts w:asciiTheme="majorHAnsi" w:hAnsiTheme="majorHAnsi" w:cstheme="majorHAnsi"/>
          <w:szCs w:val="24"/>
        </w:rPr>
        <w:t xml:space="preserve">) and air </w:t>
      </w:r>
      <m:oMath>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A</m:t>
            </m:r>
          </m:sub>
        </m:sSub>
      </m:oMath>
      <w:r w:rsidRPr="008C0D55">
        <w:rPr>
          <w:rFonts w:asciiTheme="majorHAnsi" w:hAnsiTheme="majorHAnsi" w:cstheme="majorHAnsi"/>
          <w:szCs w:val="24"/>
        </w:rPr>
        <w:t xml:space="preserve"> (with low- and high-energy intensities </w:t>
      </w:r>
      <m:oMath>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A,L</m:t>
            </m:r>
          </m:sub>
        </m:sSub>
      </m:oMath>
      <w:r w:rsidRPr="008C0D55">
        <w:rPr>
          <w:rFonts w:asciiTheme="majorHAnsi" w:hAnsiTheme="majorHAnsi" w:cstheme="majorHAnsi"/>
          <w:szCs w:val="24"/>
        </w:rPr>
        <w:t xml:space="preserve"> and </w:t>
      </w:r>
      <m:oMath>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A,H</m:t>
            </m:r>
          </m:sub>
        </m:sSub>
      </m:oMath>
      <w:r w:rsidRPr="008C0D55">
        <w:rPr>
          <w:rFonts w:asciiTheme="majorHAnsi" w:hAnsiTheme="majorHAnsi" w:cstheme="majorHAnsi"/>
          <w:szCs w:val="24"/>
        </w:rPr>
        <w:t xml:space="preserve">), as well as contrast enhancement proportional to iodine concentration </w:t>
      </w:r>
      <m:oMath>
        <m:sSub>
          <m:sSubPr>
            <m:ctrlPr>
              <w:rPr>
                <w:rFonts w:ascii="Cambria Math" w:hAnsi="Cambria Math" w:cstheme="majorHAnsi"/>
                <w:i/>
                <w:szCs w:val="24"/>
              </w:rPr>
            </m:ctrlPr>
          </m:sSubPr>
          <m:e>
            <m:r>
              <w:rPr>
                <w:rFonts w:ascii="Cambria Math" w:hAnsi="Cambria Math" w:cstheme="majorHAnsi"/>
                <w:szCs w:val="24"/>
              </w:rPr>
              <m:t>ρ</m:t>
            </m:r>
          </m:e>
          <m:sub>
            <m:r>
              <m:rPr>
                <m:sty m:val="p"/>
              </m:rPr>
              <w:rPr>
                <w:rFonts w:ascii="Cambria Math" w:hAnsi="Cambria Math" w:cstheme="majorHAnsi"/>
                <w:szCs w:val="24"/>
              </w:rPr>
              <m:t>I</m:t>
            </m:r>
          </m:sub>
        </m:sSub>
      </m:oMath>
      <w:r w:rsidRPr="008C0D55">
        <w:rPr>
          <w:rFonts w:asciiTheme="majorHAnsi" w:hAnsiTheme="majorHAnsi" w:cstheme="majorHAnsi"/>
          <w:szCs w:val="24"/>
        </w:rPr>
        <w:t xml:space="preserve"> along a fixed slope </w:t>
      </w:r>
      <m:oMath>
        <m:sSub>
          <m:sSubPr>
            <m:ctrlPr>
              <w:rPr>
                <w:rFonts w:ascii="Cambria Math" w:hAnsi="Cambria Math" w:cstheme="majorHAnsi"/>
                <w:i/>
                <w:szCs w:val="24"/>
              </w:rPr>
            </m:ctrlPr>
          </m:sSubPr>
          <m:e>
            <m:r>
              <w:rPr>
                <w:rFonts w:ascii="Cambria Math" w:hAnsi="Cambria Math" w:cstheme="majorHAnsi"/>
                <w:szCs w:val="24"/>
              </w:rPr>
              <m:t>R</m:t>
            </m:r>
          </m:e>
          <m:sub>
            <m:r>
              <m:rPr>
                <m:sty m:val="p"/>
              </m:rPr>
              <w:rPr>
                <w:rFonts w:ascii="Cambria Math" w:hAnsi="Cambria Math" w:cstheme="majorHAnsi"/>
                <w:szCs w:val="24"/>
              </w:rPr>
              <m:t>I</m:t>
            </m:r>
          </m:sub>
        </m:sSub>
      </m:oMath>
      <w:r w:rsidRPr="008C0D55">
        <w:rPr>
          <w:rFonts w:asciiTheme="majorHAnsi" w:hAnsiTheme="majorHAnsi" w:cstheme="majorHAnsi"/>
          <w:szCs w:val="24"/>
        </w:rPr>
        <w:t xml:space="preserve"> in dual-energy space:</w:t>
      </w:r>
    </w:p>
    <w:p w14:paraId="6AC305E1" w14:textId="77777777" w:rsidR="00996C39" w:rsidRPr="008C0D55" w:rsidRDefault="008C0D55" w:rsidP="00522EB9">
      <w:pPr>
        <w:spacing w:line="240" w:lineRule="auto"/>
        <w:rPr>
          <w:rFonts w:asciiTheme="majorHAnsi" w:hAnsiTheme="majorHAnsi" w:cstheme="majorHAnsi"/>
          <w:szCs w:val="24"/>
        </w:rPr>
      </w:pPr>
      <m:oMathPara>
        <m:oMath>
          <m:d>
            <m:dPr>
              <m:begChr m:val="["/>
              <m:endChr m:val="]"/>
              <m:ctrlPr>
                <w:rPr>
                  <w:rFonts w:ascii="Cambria Math" w:hAnsi="Cambria Math" w:cstheme="majorHAnsi"/>
                  <w:i/>
                  <w:szCs w:val="24"/>
                </w:rPr>
              </m:ctrlPr>
            </m:dPr>
            <m:e>
              <m:m>
                <m:mPr>
                  <m:mcs>
                    <m:mc>
                      <m:mcPr>
                        <m:count m:val="1"/>
                        <m:mcJc m:val="center"/>
                      </m:mcPr>
                    </m:mc>
                  </m:mcs>
                  <m:ctrlPr>
                    <w:rPr>
                      <w:rFonts w:ascii="Cambria Math" w:hAnsi="Cambria Math" w:cstheme="majorHAnsi"/>
                      <w:i/>
                      <w:szCs w:val="24"/>
                    </w:rPr>
                  </m:ctrlPr>
                </m:mPr>
                <m:mr>
                  <m:e>
                    <m:sSub>
                      <m:sSubPr>
                        <m:ctrlPr>
                          <w:rPr>
                            <w:rFonts w:ascii="Cambria Math" w:hAnsi="Cambria Math" w:cstheme="majorHAnsi"/>
                            <w:szCs w:val="24"/>
                          </w:rPr>
                        </m:ctrlPr>
                      </m:sSubPr>
                      <m:e>
                        <m:r>
                          <m:rPr>
                            <m:sty m:val="p"/>
                          </m:rP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L</m:t>
                        </m:r>
                      </m:sub>
                    </m:sSub>
                  </m:e>
                </m:mr>
                <m:mr>
                  <m:e>
                    <m:sSub>
                      <m:sSubPr>
                        <m:ctrlPr>
                          <w:rPr>
                            <w:rFonts w:ascii="Cambria Math" w:hAnsi="Cambria Math" w:cstheme="majorHAnsi"/>
                            <w:szCs w:val="24"/>
                          </w:rPr>
                        </m:ctrlPr>
                      </m:sSubPr>
                      <m:e>
                        <m:r>
                          <m:rPr>
                            <m:sty m:val="p"/>
                          </m:rP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,H</m:t>
                        </m:r>
                      </m:sub>
                    </m:sSub>
                  </m:e>
                </m:mr>
                <m:mr>
                  <m:e>
                    <m:r>
                      <w:rPr>
                        <w:rFonts w:ascii="Cambria Math" w:hAnsi="Cambria Math" w:cstheme="majorHAnsi"/>
                        <w:szCs w:val="24"/>
                      </w:rPr>
                      <m:t>1</m:t>
                    </m:r>
                  </m:e>
                </m:mr>
              </m:m>
            </m:e>
          </m:d>
          <m:r>
            <w:rPr>
              <w:rFonts w:ascii="Cambria Math" w:hAnsi="Cambria Math" w:cstheme="majorHAnsi"/>
              <w:szCs w:val="24"/>
            </w:rPr>
            <m:t>=</m:t>
          </m:r>
          <m:d>
            <m:dPr>
              <m:begChr m:val="["/>
              <m:endChr m:val="]"/>
              <m:ctrlPr>
                <w:rPr>
                  <w:rFonts w:ascii="Cambria Math" w:hAnsi="Cambria Math" w:cstheme="majorHAnsi"/>
                  <w:i/>
                  <w:szCs w:val="24"/>
                </w:rPr>
              </m:ctrlPr>
            </m:dPr>
            <m:e>
              <m:m>
                <m:mPr>
                  <m:mcs>
                    <m:mc>
                      <m:mcPr>
                        <m:count m:val="3"/>
                        <m:mcJc m:val="center"/>
                      </m:mcPr>
                    </m:mc>
                  </m:mcs>
                  <m:ctrlPr>
                    <w:rPr>
                      <w:rFonts w:ascii="Cambria Math" w:hAnsi="Cambria Math" w:cstheme="majorHAnsi"/>
                      <w:i/>
                      <w:szCs w:val="24"/>
                    </w:rPr>
                  </m:ctrlPr>
                </m:mPr>
                <m:mr>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S,L</m:t>
                        </m:r>
                      </m:sub>
                    </m:sSub>
                  </m:e>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A,L</m:t>
                        </m:r>
                      </m:sub>
                    </m:sSub>
                  </m:e>
                  <m:e>
                    <m:sSub>
                      <m:sSubPr>
                        <m:ctrlPr>
                          <w:rPr>
                            <w:rFonts w:ascii="Cambria Math" w:hAnsi="Cambria Math" w:cstheme="majorHAnsi"/>
                            <w:i/>
                            <w:szCs w:val="24"/>
                          </w:rPr>
                        </m:ctrlPr>
                      </m:sSubPr>
                      <m:e>
                        <m:r>
                          <w:rPr>
                            <w:rFonts w:ascii="Cambria Math" w:hAnsi="Cambria Math" w:cstheme="majorHAnsi"/>
                            <w:szCs w:val="24"/>
                          </w:rPr>
                          <m:t>R</m:t>
                        </m:r>
                      </m:e>
                      <m:sub>
                        <m:r>
                          <m:rPr>
                            <m:sty m:val="p"/>
                          </m:rPr>
                          <w:rPr>
                            <w:rFonts w:ascii="Cambria Math" w:hAnsi="Cambria Math" w:cstheme="majorHAnsi"/>
                            <w:szCs w:val="24"/>
                          </w:rPr>
                          <m:t>I</m:t>
                        </m:r>
                      </m:sub>
                    </m:sSub>
                  </m:e>
                </m:mr>
                <m:mr>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S,H</m:t>
                        </m:r>
                      </m:sub>
                    </m:sSub>
                  </m:e>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A,H</m:t>
                        </m:r>
                      </m:sub>
                    </m:sSub>
                  </m:e>
                  <m:e>
                    <m:r>
                      <w:rPr>
                        <w:rFonts w:ascii="Cambria Math" w:hAnsi="Cambria Math" w:cstheme="majorHAnsi"/>
                        <w:szCs w:val="24"/>
                      </w:rPr>
                      <m:t>1</m:t>
                    </m:r>
                  </m:e>
                </m:mr>
                <m:mr>
                  <m:e>
                    <m:r>
                      <w:rPr>
                        <w:rFonts w:ascii="Cambria Math" w:hAnsi="Cambria Math" w:cstheme="majorHAnsi"/>
                        <w:szCs w:val="24"/>
                      </w:rPr>
                      <m:t>1</m:t>
                    </m:r>
                  </m:e>
                  <m:e>
                    <m:r>
                      <w:rPr>
                        <w:rFonts w:ascii="Cambria Math" w:hAnsi="Cambria Math" w:cstheme="majorHAnsi"/>
                        <w:szCs w:val="24"/>
                      </w:rPr>
                      <m:t>1</m:t>
                    </m:r>
                  </m:e>
                  <m:e>
                    <m:r>
                      <w:rPr>
                        <w:rFonts w:ascii="Cambria Math" w:hAnsi="Cambria Math" w:cstheme="majorHAnsi"/>
                        <w:szCs w:val="24"/>
                      </w:rPr>
                      <m:t>0</m:t>
                    </m:r>
                  </m:e>
                </m:mr>
              </m:m>
            </m:e>
          </m:d>
          <m:d>
            <m:dPr>
              <m:begChr m:val="["/>
              <m:endChr m:val="]"/>
              <m:ctrlPr>
                <w:rPr>
                  <w:rFonts w:ascii="Cambria Math" w:hAnsi="Cambria Math" w:cstheme="majorHAnsi"/>
                  <w:i/>
                  <w:szCs w:val="24"/>
                </w:rPr>
              </m:ctrlPr>
            </m:dPr>
            <m:e>
              <m:m>
                <m:mPr>
                  <m:mcs>
                    <m:mc>
                      <m:mcPr>
                        <m:count m:val="1"/>
                        <m:mcJc m:val="center"/>
                      </m:mcPr>
                    </m:mc>
                  </m:mcs>
                  <m:ctrlPr>
                    <w:rPr>
                      <w:rFonts w:ascii="Cambria Math" w:hAnsi="Cambria Math" w:cstheme="majorHAnsi"/>
                      <w:i/>
                      <w:szCs w:val="24"/>
                    </w:rPr>
                  </m:ctrlPr>
                </m:mPr>
                <m:mr>
                  <m:e>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S</m:t>
                        </m:r>
                      </m:sub>
                    </m:sSub>
                  </m:e>
                </m:mr>
                <m:mr>
                  <m:e>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A</m:t>
                        </m:r>
                      </m:sub>
                    </m:sSub>
                  </m:e>
                </m:mr>
                <m:mr>
                  <m:e>
                    <m:sSub>
                      <m:sSubPr>
                        <m:ctrlPr>
                          <w:rPr>
                            <w:rFonts w:ascii="Cambria Math" w:hAnsi="Cambria Math" w:cstheme="majorHAnsi"/>
                            <w:i/>
                            <w:szCs w:val="24"/>
                          </w:rPr>
                        </m:ctrlPr>
                      </m:sSubPr>
                      <m:e>
                        <m:r>
                          <w:rPr>
                            <w:rFonts w:ascii="Cambria Math" w:hAnsi="Cambria Math" w:cstheme="majorHAnsi"/>
                            <w:szCs w:val="24"/>
                          </w:rPr>
                          <m:t>ρ</m:t>
                        </m:r>
                      </m:e>
                      <m:sub>
                        <m:r>
                          <m:rPr>
                            <m:sty m:val="p"/>
                          </m:rPr>
                          <w:rPr>
                            <w:rFonts w:ascii="Cambria Math" w:hAnsi="Cambria Math" w:cstheme="majorHAnsi"/>
                            <w:szCs w:val="24"/>
                          </w:rPr>
                          <m:t>I</m:t>
                        </m:r>
                      </m:sub>
                    </m:sSub>
                  </m:e>
                </m:mr>
              </m:m>
            </m:e>
          </m:d>
        </m:oMath>
      </m:oMathPara>
    </w:p>
    <w:p w14:paraId="56C58A83" w14:textId="019A13E3" w:rsidR="00996C39" w:rsidRPr="008C0D55" w:rsidRDefault="0052561C" w:rsidP="001F3C94">
      <w:pPr>
        <w:rPr>
          <w:rFonts w:asciiTheme="majorHAnsi" w:hAnsiTheme="majorHAnsi" w:cstheme="majorHAnsi"/>
          <w:szCs w:val="24"/>
        </w:rPr>
      </w:pPr>
      <w:r w:rsidRPr="008C0D55">
        <w:rPr>
          <w:rFonts w:asciiTheme="majorHAnsi" w:hAnsiTheme="majorHAnsi" w:cstheme="majorHAnsi"/>
          <w:szCs w:val="24"/>
        </w:rPr>
        <w:t xml:space="preserve">The slope </w:t>
      </w:r>
      <m:oMath>
        <m:sSub>
          <m:sSubPr>
            <m:ctrlPr>
              <w:rPr>
                <w:rFonts w:ascii="Cambria Math" w:hAnsi="Cambria Math" w:cstheme="majorHAnsi"/>
                <w:i/>
                <w:szCs w:val="24"/>
              </w:rPr>
            </m:ctrlPr>
          </m:sSubPr>
          <m:e>
            <m:r>
              <w:rPr>
                <w:rFonts w:ascii="Cambria Math" w:hAnsi="Cambria Math" w:cstheme="majorHAnsi"/>
                <w:szCs w:val="24"/>
              </w:rPr>
              <m:t>R</m:t>
            </m:r>
          </m:e>
          <m:sub>
            <m:r>
              <m:rPr>
                <m:sty m:val="p"/>
              </m:rPr>
              <w:rPr>
                <w:rFonts w:ascii="Cambria Math" w:hAnsi="Cambria Math" w:cstheme="majorHAnsi"/>
                <w:szCs w:val="24"/>
              </w:rPr>
              <m:t>I</m:t>
            </m:r>
          </m:sub>
        </m:sSub>
      </m:oMath>
      <w:r w:rsidRPr="008C0D55">
        <w:rPr>
          <w:rFonts w:asciiTheme="majorHAnsi" w:hAnsiTheme="majorHAnsi" w:cstheme="majorHAnsi"/>
          <w:szCs w:val="24"/>
        </w:rPr>
        <w:t xml:space="preserve"> is also known as the dual-energy ratio, which describes the ratio between the increase in low-energy CT intensity and the increase in high-energy CT intensity caused by the presence of the iodinated contrast material. </w:t>
      </w:r>
      <w:r w:rsidR="00996C39" w:rsidRPr="008C0D55">
        <w:rPr>
          <w:rFonts w:asciiTheme="majorHAnsi" w:hAnsiTheme="majorHAnsi" w:cstheme="majorHAnsi"/>
          <w:szCs w:val="24"/>
        </w:rPr>
        <w:t xml:space="preserve">Note that it was assumed that </w:t>
      </w:r>
      <m:oMath>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A</m:t>
            </m:r>
          </m:sub>
        </m:sSub>
        <m:r>
          <w:rPr>
            <w:rFonts w:ascii="Cambria Math" w:hAnsi="Cambria Math" w:cstheme="majorHAnsi"/>
            <w:szCs w:val="24"/>
          </w:rPr>
          <m:t>=1-</m:t>
        </m:r>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S</m:t>
            </m:r>
          </m:sub>
        </m:sSub>
      </m:oMath>
      <w:r w:rsidR="00996C39" w:rsidRPr="008C0D55">
        <w:rPr>
          <w:rFonts w:asciiTheme="majorHAnsi" w:hAnsiTheme="majorHAnsi" w:cstheme="majorHAnsi"/>
          <w:szCs w:val="24"/>
        </w:rPr>
        <w:t>.</w:t>
      </w:r>
      <w:r w:rsidR="00AB28CA" w:rsidRPr="008C0D55">
        <w:rPr>
          <w:rFonts w:asciiTheme="majorHAnsi" w:hAnsiTheme="majorHAnsi" w:cstheme="majorHAnsi"/>
          <w:szCs w:val="24"/>
        </w:rPr>
        <w:t xml:space="preserve"> </w:t>
      </w:r>
      <w:r w:rsidR="00996C39" w:rsidRPr="008C0D55">
        <w:rPr>
          <w:rFonts w:asciiTheme="majorHAnsi" w:hAnsiTheme="majorHAnsi" w:cstheme="majorHAnsi"/>
          <w:szCs w:val="24"/>
        </w:rPr>
        <w:t>This system of equations can be further simplified into a two-dimensional system:</w:t>
      </w:r>
    </w:p>
    <w:p w14:paraId="735FB481" w14:textId="77777777" w:rsidR="00996C39" w:rsidRPr="008C0D55" w:rsidRDefault="008C0D55" w:rsidP="00522EB9">
      <w:pPr>
        <w:spacing w:line="240" w:lineRule="auto"/>
        <w:rPr>
          <w:rFonts w:asciiTheme="majorHAnsi" w:hAnsiTheme="majorHAnsi" w:cstheme="majorHAnsi"/>
          <w:szCs w:val="24"/>
        </w:rPr>
      </w:pPr>
      <m:oMathPara>
        <m:oMath>
          <m:d>
            <m:dPr>
              <m:begChr m:val="["/>
              <m:endChr m:val="]"/>
              <m:ctrlPr>
                <w:rPr>
                  <w:rFonts w:ascii="Cambria Math" w:hAnsi="Cambria Math" w:cstheme="majorHAnsi"/>
                  <w:i/>
                  <w:szCs w:val="24"/>
                </w:rPr>
              </m:ctrlPr>
            </m:dPr>
            <m:e>
              <m:m>
                <m:mPr>
                  <m:mcs>
                    <m:mc>
                      <m:mcPr>
                        <m:count m:val="1"/>
                        <m:mcJc m:val="center"/>
                      </m:mcPr>
                    </m:mc>
                  </m:mcs>
                  <m:ctrlPr>
                    <w:rPr>
                      <w:rFonts w:ascii="Cambria Math" w:hAnsi="Cambria Math" w:cstheme="majorHAnsi"/>
                      <w:szCs w:val="24"/>
                    </w:rPr>
                  </m:ctrlPr>
                </m:mPr>
                <m:mr>
                  <m:e>
                    <m:sSub>
                      <m:sSubPr>
                        <m:ctrlPr>
                          <w:rPr>
                            <w:rFonts w:ascii="Cambria Math" w:hAnsi="Cambria Math" w:cstheme="majorHAnsi"/>
                            <w:szCs w:val="24"/>
                          </w:rPr>
                        </m:ctrlPr>
                      </m:sSubPr>
                      <m:e>
                        <m:r>
                          <m:rPr>
                            <m:sty m:val="p"/>
                          </m:rP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L</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A,L</m:t>
                        </m:r>
                      </m:sub>
                    </m:sSub>
                  </m:e>
                </m:mr>
                <m:mr>
                  <m:e>
                    <m:sSub>
                      <m:sSubPr>
                        <m:ctrlPr>
                          <w:rPr>
                            <w:rFonts w:ascii="Cambria Math" w:hAnsi="Cambria Math" w:cstheme="majorHAnsi"/>
                            <w:szCs w:val="24"/>
                          </w:rPr>
                        </m:ctrlPr>
                      </m:sSubPr>
                      <m:e>
                        <m:r>
                          <m:rPr>
                            <m:sty m:val="p"/>
                          </m:rP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,H</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A,H</m:t>
                        </m:r>
                      </m:sub>
                    </m:sSub>
                  </m:e>
                </m:mr>
              </m:m>
            </m:e>
          </m:d>
          <m:r>
            <w:rPr>
              <w:rFonts w:ascii="Cambria Math" w:hAnsi="Cambria Math" w:cstheme="majorHAnsi"/>
              <w:szCs w:val="24"/>
            </w:rPr>
            <m:t>=</m:t>
          </m:r>
          <m:d>
            <m:dPr>
              <m:begChr m:val="["/>
              <m:endChr m:val="]"/>
              <m:ctrlPr>
                <w:rPr>
                  <w:rFonts w:ascii="Cambria Math" w:hAnsi="Cambria Math" w:cstheme="majorHAnsi"/>
                  <w:i/>
                  <w:szCs w:val="24"/>
                </w:rPr>
              </m:ctrlPr>
            </m:dPr>
            <m:e>
              <m:m>
                <m:mPr>
                  <m:mcs>
                    <m:mc>
                      <m:mcPr>
                        <m:count m:val="2"/>
                        <m:mcJc m:val="center"/>
                      </m:mcPr>
                    </m:mc>
                  </m:mcs>
                  <m:ctrlPr>
                    <w:rPr>
                      <w:rFonts w:ascii="Cambria Math" w:hAnsi="Cambria Math" w:cstheme="majorHAnsi"/>
                      <w:i/>
                      <w:szCs w:val="24"/>
                    </w:rPr>
                  </m:ctrlPr>
                </m:mPr>
                <m:mr>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S,L</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A,L</m:t>
                        </m:r>
                      </m:sub>
                    </m:sSub>
                  </m:e>
                  <m:e>
                    <m:sSub>
                      <m:sSubPr>
                        <m:ctrlPr>
                          <w:rPr>
                            <w:rFonts w:ascii="Cambria Math" w:hAnsi="Cambria Math" w:cstheme="majorHAnsi"/>
                            <w:i/>
                            <w:szCs w:val="24"/>
                          </w:rPr>
                        </m:ctrlPr>
                      </m:sSubPr>
                      <m:e>
                        <m:r>
                          <w:rPr>
                            <w:rFonts w:ascii="Cambria Math" w:hAnsi="Cambria Math" w:cstheme="majorHAnsi"/>
                            <w:szCs w:val="24"/>
                          </w:rPr>
                          <m:t>R</m:t>
                        </m:r>
                      </m:e>
                      <m:sub>
                        <m:r>
                          <m:rPr>
                            <m:sty m:val="p"/>
                          </m:rPr>
                          <w:rPr>
                            <w:rFonts w:ascii="Cambria Math" w:hAnsi="Cambria Math" w:cstheme="majorHAnsi"/>
                            <w:szCs w:val="24"/>
                          </w:rPr>
                          <m:t>I</m:t>
                        </m:r>
                      </m:sub>
                    </m:sSub>
                  </m:e>
                </m:mr>
                <m:mr>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S,H</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A,H</m:t>
                        </m:r>
                      </m:sub>
                    </m:sSub>
                  </m:e>
                  <m:e>
                    <m:r>
                      <w:rPr>
                        <w:rFonts w:ascii="Cambria Math" w:hAnsi="Cambria Math" w:cstheme="majorHAnsi"/>
                        <w:szCs w:val="24"/>
                      </w:rPr>
                      <m:t>1</m:t>
                    </m:r>
                  </m:e>
                </m:mr>
              </m:m>
            </m:e>
          </m:d>
          <m:d>
            <m:dPr>
              <m:begChr m:val="["/>
              <m:endChr m:val="]"/>
              <m:ctrlPr>
                <w:rPr>
                  <w:rFonts w:ascii="Cambria Math" w:hAnsi="Cambria Math" w:cstheme="majorHAnsi"/>
                  <w:i/>
                  <w:szCs w:val="24"/>
                </w:rPr>
              </m:ctrlPr>
            </m:dPr>
            <m:e>
              <m:m>
                <m:mPr>
                  <m:mcs>
                    <m:mc>
                      <m:mcPr>
                        <m:count m:val="1"/>
                        <m:mcJc m:val="center"/>
                      </m:mcPr>
                    </m:mc>
                  </m:mcs>
                  <m:ctrlPr>
                    <w:rPr>
                      <w:rFonts w:ascii="Cambria Math" w:hAnsi="Cambria Math" w:cstheme="majorHAnsi"/>
                      <w:i/>
                      <w:szCs w:val="24"/>
                    </w:rPr>
                  </m:ctrlPr>
                </m:mPr>
                <m:mr>
                  <m:e>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S</m:t>
                        </m:r>
                      </m:sub>
                    </m:sSub>
                  </m:e>
                </m:mr>
                <m:mr>
                  <m:e>
                    <m:sSub>
                      <m:sSubPr>
                        <m:ctrlPr>
                          <w:rPr>
                            <w:rFonts w:ascii="Cambria Math" w:hAnsi="Cambria Math" w:cstheme="majorHAnsi"/>
                            <w:i/>
                            <w:szCs w:val="24"/>
                          </w:rPr>
                        </m:ctrlPr>
                      </m:sSubPr>
                      <m:e>
                        <m:r>
                          <w:rPr>
                            <w:rFonts w:ascii="Cambria Math" w:hAnsi="Cambria Math" w:cstheme="majorHAnsi"/>
                            <w:szCs w:val="24"/>
                          </w:rPr>
                          <m:t>ρ</m:t>
                        </m:r>
                      </m:e>
                      <m:sub>
                        <m:r>
                          <m:rPr>
                            <m:sty m:val="p"/>
                          </m:rPr>
                          <w:rPr>
                            <w:rFonts w:ascii="Cambria Math" w:hAnsi="Cambria Math" w:cstheme="majorHAnsi"/>
                            <w:szCs w:val="24"/>
                          </w:rPr>
                          <m:t>I</m:t>
                        </m:r>
                      </m:sub>
                    </m:sSub>
                  </m:e>
                </m:mr>
              </m:m>
            </m:e>
          </m:d>
        </m:oMath>
      </m:oMathPara>
    </w:p>
    <w:p w14:paraId="75489997" w14:textId="77777777" w:rsidR="0052561C" w:rsidRPr="008C0D55" w:rsidRDefault="0052561C" w:rsidP="0052561C">
      <w:pPr>
        <w:jc w:val="left"/>
        <w:rPr>
          <w:rFonts w:asciiTheme="majorHAnsi" w:hAnsiTheme="majorHAnsi" w:cstheme="majorHAnsi"/>
          <w:szCs w:val="24"/>
        </w:rPr>
      </w:pPr>
      <w:r w:rsidRPr="008C0D55">
        <w:rPr>
          <w:rFonts w:asciiTheme="majorHAnsi" w:hAnsiTheme="majorHAnsi" w:cstheme="majorHAnsi"/>
          <w:szCs w:val="24"/>
        </w:rPr>
        <w:t xml:space="preserve">The solution of this two-dimensional system by matrix inversion can be expressed analytically in terms of the measured values for </w:t>
      </w:r>
      <m:oMath>
        <m:sSub>
          <m:sSubPr>
            <m:ctrlPr>
              <w:rPr>
                <w:rFonts w:ascii="Cambria Math" w:hAnsi="Cambria Math" w:cstheme="majorHAnsi"/>
                <w:szCs w:val="24"/>
              </w:rPr>
            </m:ctrlPr>
          </m:sSubPr>
          <m:e>
            <m: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L</m:t>
            </m:r>
          </m:sub>
        </m:sSub>
      </m:oMath>
      <w:r w:rsidRPr="008C0D55">
        <w:rPr>
          <w:rFonts w:asciiTheme="majorHAnsi" w:hAnsiTheme="majorHAnsi" w:cstheme="majorHAnsi"/>
          <w:szCs w:val="24"/>
        </w:rPr>
        <w:t xml:space="preserve"> and </w:t>
      </w:r>
      <m:oMath>
        <m:sSub>
          <m:sSubPr>
            <m:ctrlPr>
              <w:rPr>
                <w:rFonts w:ascii="Cambria Math" w:hAnsi="Cambria Math" w:cstheme="majorHAnsi"/>
                <w:szCs w:val="24"/>
              </w:rPr>
            </m:ctrlPr>
          </m:sSubPr>
          <m:e>
            <m: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,H</m:t>
            </m:r>
          </m:sub>
        </m:sSub>
      </m:oMath>
      <w:r w:rsidRPr="008C0D55">
        <w:rPr>
          <w:rFonts w:asciiTheme="majorHAnsi" w:hAnsiTheme="majorHAnsi" w:cstheme="majorHAnsi"/>
          <w:szCs w:val="24"/>
        </w:rPr>
        <w:t xml:space="preserve"> in each voxel:</w:t>
      </w:r>
    </w:p>
    <w:p w14:paraId="7D39342E" w14:textId="77777777" w:rsidR="0052561C" w:rsidRPr="008C0D55" w:rsidRDefault="008C0D55" w:rsidP="0052561C">
      <w:pPr>
        <w:jc w:val="left"/>
        <w:rPr>
          <w:rFonts w:asciiTheme="majorHAnsi" w:hAnsiTheme="majorHAnsi" w:cstheme="majorHAnsi"/>
          <w:szCs w:val="24"/>
        </w:rPr>
      </w:pPr>
      <m:oMathPara>
        <m:oMath>
          <m:d>
            <m:dPr>
              <m:begChr m:val="["/>
              <m:endChr m:val="]"/>
              <m:ctrlPr>
                <w:rPr>
                  <w:rFonts w:ascii="Cambria Math" w:hAnsi="Cambria Math" w:cstheme="majorHAnsi"/>
                  <w:i/>
                  <w:szCs w:val="24"/>
                </w:rPr>
              </m:ctrlPr>
            </m:dPr>
            <m:e>
              <m:m>
                <m:mPr>
                  <m:mcs>
                    <m:mc>
                      <m:mcPr>
                        <m:count m:val="1"/>
                        <m:mcJc m:val="center"/>
                      </m:mcPr>
                    </m:mc>
                  </m:mcs>
                  <m:ctrlPr>
                    <w:rPr>
                      <w:rFonts w:ascii="Cambria Math" w:hAnsi="Cambria Math" w:cstheme="majorHAnsi"/>
                      <w:i/>
                      <w:szCs w:val="24"/>
                    </w:rPr>
                  </m:ctrlPr>
                </m:mPr>
                <m:mr>
                  <m:e>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S</m:t>
                        </m:r>
                      </m:sub>
                    </m:sSub>
                  </m:e>
                </m:mr>
                <m:mr>
                  <m:e>
                    <m:sSub>
                      <m:sSubPr>
                        <m:ctrlPr>
                          <w:rPr>
                            <w:rFonts w:ascii="Cambria Math" w:hAnsi="Cambria Math" w:cstheme="majorHAnsi"/>
                            <w:i/>
                            <w:szCs w:val="24"/>
                          </w:rPr>
                        </m:ctrlPr>
                      </m:sSubPr>
                      <m:e>
                        <m:r>
                          <w:rPr>
                            <w:rFonts w:ascii="Cambria Math" w:hAnsi="Cambria Math" w:cstheme="majorHAnsi"/>
                            <w:szCs w:val="24"/>
                          </w:rPr>
                          <m:t>ρ</m:t>
                        </m:r>
                      </m:e>
                      <m:sub>
                        <m:r>
                          <m:rPr>
                            <m:sty m:val="p"/>
                          </m:rPr>
                          <w:rPr>
                            <w:rFonts w:ascii="Cambria Math" w:hAnsi="Cambria Math" w:cstheme="majorHAnsi"/>
                            <w:szCs w:val="24"/>
                          </w:rPr>
                          <m:t>I</m:t>
                        </m:r>
                      </m:sub>
                    </m:sSub>
                  </m:e>
                </m:mr>
              </m:m>
            </m:e>
          </m:d>
          <m:r>
            <w:rPr>
              <w:rFonts w:ascii="Cambria Math" w:hAnsi="Cambria Math" w:cstheme="majorHAnsi"/>
              <w:szCs w:val="24"/>
            </w:rPr>
            <m:t>=</m:t>
          </m:r>
          <m:f>
            <m:fPr>
              <m:ctrlPr>
                <w:rPr>
                  <w:rFonts w:ascii="Cambria Math" w:hAnsi="Cambria Math" w:cstheme="majorHAnsi"/>
                  <w:i/>
                  <w:szCs w:val="24"/>
                </w:rPr>
              </m:ctrlPr>
            </m:fPr>
            <m:num>
              <m:r>
                <w:rPr>
                  <w:rFonts w:ascii="Cambria Math" w:hAnsi="Cambria Math" w:cstheme="majorHAnsi"/>
                  <w:szCs w:val="24"/>
                </w:rPr>
                <m:t>1</m:t>
              </m:r>
            </m:num>
            <m:den>
              <m:d>
                <m:dPr>
                  <m:ctrlPr>
                    <w:rPr>
                      <w:rFonts w:ascii="Cambria Math" w:hAnsi="Cambria Math" w:cstheme="majorHAnsi"/>
                      <w:i/>
                      <w:szCs w:val="24"/>
                    </w:rPr>
                  </m:ctrlPr>
                </m:dPr>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S,L</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A,L</m:t>
                      </m:r>
                    </m:sub>
                  </m:sSub>
                </m:e>
              </m:d>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R</m:t>
                  </m:r>
                </m:e>
                <m:sub>
                  <m:r>
                    <m:rPr>
                      <m:sty m:val="p"/>
                    </m:rPr>
                    <w:rPr>
                      <w:rFonts w:ascii="Cambria Math" w:hAnsi="Cambria Math" w:cstheme="majorHAnsi"/>
                      <w:szCs w:val="24"/>
                    </w:rPr>
                    <m:t>I</m:t>
                  </m:r>
                </m:sub>
              </m:sSub>
              <m:d>
                <m:dPr>
                  <m:ctrlPr>
                    <w:rPr>
                      <w:rFonts w:ascii="Cambria Math" w:hAnsi="Cambria Math" w:cstheme="majorHAnsi"/>
                      <w:i/>
                      <w:szCs w:val="24"/>
                    </w:rPr>
                  </m:ctrlPr>
                </m:dPr>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S,H</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A,H</m:t>
                      </m:r>
                    </m:sub>
                  </m:sSub>
                </m:e>
              </m:d>
            </m:den>
          </m:f>
          <m:d>
            <m:dPr>
              <m:begChr m:val="["/>
              <m:endChr m:val="]"/>
              <m:ctrlPr>
                <w:rPr>
                  <w:rFonts w:ascii="Cambria Math" w:hAnsi="Cambria Math" w:cstheme="majorHAnsi"/>
                  <w:i/>
                  <w:szCs w:val="24"/>
                </w:rPr>
              </m:ctrlPr>
            </m:dPr>
            <m:e>
              <m:m>
                <m:mPr>
                  <m:mcs>
                    <m:mc>
                      <m:mcPr>
                        <m:count m:val="2"/>
                        <m:mcJc m:val="center"/>
                      </m:mcPr>
                    </m:mc>
                  </m:mcs>
                  <m:ctrlPr>
                    <w:rPr>
                      <w:rFonts w:ascii="Cambria Math" w:hAnsi="Cambria Math" w:cstheme="majorHAnsi"/>
                      <w:i/>
                      <w:szCs w:val="24"/>
                    </w:rPr>
                  </m:ctrlPr>
                </m:mPr>
                <m:mr>
                  <m:e>
                    <m:r>
                      <w:rPr>
                        <w:rFonts w:ascii="Cambria Math" w:hAnsi="Cambria Math" w:cstheme="majorHAnsi"/>
                        <w:szCs w:val="24"/>
                      </w:rPr>
                      <m:t>1</m:t>
                    </m:r>
                  </m:e>
                  <m:e>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R</m:t>
                        </m:r>
                      </m:e>
                      <m:sub>
                        <m:r>
                          <m:rPr>
                            <m:sty m:val="p"/>
                          </m:rPr>
                          <w:rPr>
                            <w:rFonts w:ascii="Cambria Math" w:hAnsi="Cambria Math" w:cstheme="majorHAnsi"/>
                            <w:szCs w:val="24"/>
                          </w:rPr>
                          <m:t>I</m:t>
                        </m:r>
                      </m:sub>
                    </m:sSub>
                  </m:e>
                </m:mr>
                <m:mr>
                  <m:e>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S,H</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A,H</m:t>
                        </m:r>
                      </m:sub>
                    </m:sSub>
                  </m:e>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S,L</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A,L</m:t>
                        </m:r>
                      </m:sub>
                    </m:sSub>
                  </m:e>
                </m:mr>
              </m:m>
            </m:e>
          </m:d>
          <m:d>
            <m:dPr>
              <m:begChr m:val="["/>
              <m:endChr m:val="]"/>
              <m:ctrlPr>
                <w:rPr>
                  <w:rFonts w:ascii="Cambria Math" w:hAnsi="Cambria Math" w:cstheme="majorHAnsi"/>
                  <w:i/>
                  <w:szCs w:val="24"/>
                </w:rPr>
              </m:ctrlPr>
            </m:dPr>
            <m:e>
              <m:m>
                <m:mPr>
                  <m:mcs>
                    <m:mc>
                      <m:mcPr>
                        <m:count m:val="1"/>
                        <m:mcJc m:val="center"/>
                      </m:mcPr>
                    </m:mc>
                  </m:mcs>
                  <m:ctrlPr>
                    <w:rPr>
                      <w:rFonts w:ascii="Cambria Math" w:hAnsi="Cambria Math" w:cstheme="majorHAnsi"/>
                      <w:szCs w:val="24"/>
                    </w:rPr>
                  </m:ctrlPr>
                </m:mPr>
                <m:mr>
                  <m:e>
                    <m:sSub>
                      <m:sSubPr>
                        <m:ctrlPr>
                          <w:rPr>
                            <w:rFonts w:ascii="Cambria Math" w:hAnsi="Cambria Math" w:cstheme="majorHAnsi"/>
                            <w:szCs w:val="24"/>
                          </w:rPr>
                        </m:ctrlPr>
                      </m:sSubPr>
                      <m:e>
                        <m: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L</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A,L</m:t>
                        </m:r>
                      </m:sub>
                    </m:sSub>
                  </m:e>
                </m:mr>
                <m:mr>
                  <m:e>
                    <m:sSub>
                      <m:sSubPr>
                        <m:ctrlPr>
                          <w:rPr>
                            <w:rFonts w:ascii="Cambria Math" w:hAnsi="Cambria Math" w:cstheme="majorHAnsi"/>
                            <w:szCs w:val="24"/>
                          </w:rPr>
                        </m:ctrlPr>
                      </m:sSubPr>
                      <m:e>
                        <m: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,H</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A,H</m:t>
                        </m:r>
                      </m:sub>
                    </m:sSub>
                  </m:e>
                </m:mr>
              </m:m>
            </m:e>
          </m:d>
        </m:oMath>
      </m:oMathPara>
    </w:p>
    <w:p w14:paraId="1693D282" w14:textId="77777777" w:rsidR="0052561C" w:rsidRPr="008C0D55" w:rsidRDefault="0052561C" w:rsidP="0052561C">
      <w:pPr>
        <w:ind w:firstLine="0"/>
        <w:jc w:val="left"/>
        <w:rPr>
          <w:rFonts w:asciiTheme="majorHAnsi" w:hAnsiTheme="majorHAnsi" w:cstheme="majorHAnsi"/>
          <w:szCs w:val="24"/>
        </w:rPr>
      </w:pPr>
      <w:r w:rsidRPr="008C0D55">
        <w:rPr>
          <w:rFonts w:asciiTheme="majorHAnsi" w:hAnsiTheme="majorHAnsi" w:cstheme="majorHAnsi"/>
          <w:szCs w:val="24"/>
        </w:rPr>
        <w:t>which yields direct expressions for the soft tissue fraction:</w:t>
      </w:r>
    </w:p>
    <w:p w14:paraId="3FFF7A34" w14:textId="77777777" w:rsidR="0052561C" w:rsidRPr="008C0D55" w:rsidRDefault="008C0D55" w:rsidP="0052561C">
      <w:pPr>
        <w:jc w:val="left"/>
        <w:rPr>
          <w:rFonts w:asciiTheme="majorHAnsi" w:hAnsiTheme="majorHAnsi" w:cstheme="majorHAnsi"/>
          <w:szCs w:val="24"/>
        </w:rPr>
      </w:pPr>
      <m:oMathPara>
        <m:oMath>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S</m:t>
              </m:r>
            </m:sub>
          </m:sSub>
          <m:r>
            <w:rPr>
              <w:rFonts w:ascii="Cambria Math" w:hAnsi="Cambria Math" w:cstheme="majorHAnsi"/>
              <w:szCs w:val="24"/>
            </w:rPr>
            <m:t>=</m:t>
          </m:r>
          <m:f>
            <m:fPr>
              <m:ctrlPr>
                <w:rPr>
                  <w:rFonts w:ascii="Cambria Math" w:hAnsi="Cambria Math" w:cstheme="majorHAnsi"/>
                  <w:i/>
                  <w:szCs w:val="24"/>
                </w:rPr>
              </m:ctrlPr>
            </m:fPr>
            <m:num>
              <m:d>
                <m:dPr>
                  <m:ctrlPr>
                    <w:rPr>
                      <w:rFonts w:ascii="Cambria Math" w:hAnsi="Cambria Math" w:cstheme="majorHAnsi"/>
                      <w:i/>
                      <w:szCs w:val="24"/>
                    </w:rPr>
                  </m:ctrlPr>
                </m:dPr>
                <m:e>
                  <m:sSub>
                    <m:sSubPr>
                      <m:ctrlPr>
                        <w:rPr>
                          <w:rFonts w:ascii="Cambria Math" w:hAnsi="Cambria Math" w:cstheme="majorHAnsi"/>
                          <w:szCs w:val="24"/>
                        </w:rPr>
                      </m:ctrlPr>
                    </m:sSubPr>
                    <m:e>
                      <m: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L</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A,L</m:t>
                      </m:r>
                    </m:sub>
                  </m:sSub>
                </m:e>
              </m:d>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R</m:t>
                  </m:r>
                </m:e>
                <m:sub>
                  <m:r>
                    <m:rPr>
                      <m:sty m:val="p"/>
                    </m:rPr>
                    <w:rPr>
                      <w:rFonts w:ascii="Cambria Math" w:hAnsi="Cambria Math" w:cstheme="majorHAnsi"/>
                      <w:szCs w:val="24"/>
                    </w:rPr>
                    <m:t>I</m:t>
                  </m:r>
                </m:sub>
              </m:sSub>
              <m:d>
                <m:dPr>
                  <m:ctrlPr>
                    <w:rPr>
                      <w:rFonts w:ascii="Cambria Math" w:hAnsi="Cambria Math" w:cstheme="majorHAnsi"/>
                      <w:i/>
                      <w:szCs w:val="24"/>
                    </w:rPr>
                  </m:ctrlPr>
                </m:dPr>
                <m:e>
                  <m:sSub>
                    <m:sSubPr>
                      <m:ctrlPr>
                        <w:rPr>
                          <w:rFonts w:ascii="Cambria Math" w:hAnsi="Cambria Math" w:cstheme="majorHAnsi"/>
                          <w:szCs w:val="24"/>
                        </w:rPr>
                      </m:ctrlPr>
                    </m:sSubPr>
                    <m:e>
                      <m: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,H</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A,H</m:t>
                      </m:r>
                    </m:sub>
                  </m:sSub>
                </m:e>
              </m:d>
            </m:num>
            <m:den>
              <m:d>
                <m:dPr>
                  <m:ctrlPr>
                    <w:rPr>
                      <w:rFonts w:ascii="Cambria Math" w:hAnsi="Cambria Math" w:cstheme="majorHAnsi"/>
                      <w:i/>
                      <w:szCs w:val="24"/>
                    </w:rPr>
                  </m:ctrlPr>
                </m:dPr>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S,L</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A,L</m:t>
                      </m:r>
                    </m:sub>
                  </m:sSub>
                </m:e>
              </m:d>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R</m:t>
                  </m:r>
                </m:e>
                <m:sub>
                  <m:r>
                    <m:rPr>
                      <m:sty m:val="p"/>
                    </m:rPr>
                    <w:rPr>
                      <w:rFonts w:ascii="Cambria Math" w:hAnsi="Cambria Math" w:cstheme="majorHAnsi"/>
                      <w:szCs w:val="24"/>
                    </w:rPr>
                    <m:t>I</m:t>
                  </m:r>
                </m:sub>
              </m:sSub>
              <m:d>
                <m:dPr>
                  <m:ctrlPr>
                    <w:rPr>
                      <w:rFonts w:ascii="Cambria Math" w:hAnsi="Cambria Math" w:cstheme="majorHAnsi"/>
                      <w:i/>
                      <w:szCs w:val="24"/>
                    </w:rPr>
                  </m:ctrlPr>
                </m:dPr>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S,H</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A,H</m:t>
                      </m:r>
                    </m:sub>
                  </m:sSub>
                </m:e>
              </m:d>
            </m:den>
          </m:f>
        </m:oMath>
      </m:oMathPara>
    </w:p>
    <w:p w14:paraId="46FFE07A" w14:textId="77777777" w:rsidR="0052561C" w:rsidRPr="008C0D55" w:rsidRDefault="0052561C" w:rsidP="0052561C">
      <w:pPr>
        <w:ind w:firstLine="0"/>
        <w:jc w:val="left"/>
        <w:rPr>
          <w:rFonts w:asciiTheme="majorHAnsi" w:hAnsiTheme="majorHAnsi" w:cstheme="majorHAnsi"/>
          <w:szCs w:val="24"/>
        </w:rPr>
      </w:pPr>
      <w:r w:rsidRPr="008C0D55">
        <w:rPr>
          <w:rFonts w:asciiTheme="majorHAnsi" w:hAnsiTheme="majorHAnsi" w:cstheme="majorHAnsi"/>
          <w:szCs w:val="24"/>
        </w:rPr>
        <w:t>and relative iodine concentration:</w:t>
      </w:r>
    </w:p>
    <w:p w14:paraId="61537C03" w14:textId="77777777" w:rsidR="0052561C" w:rsidRPr="008C0D55" w:rsidRDefault="008C0D55" w:rsidP="0052561C">
      <w:pPr>
        <w:jc w:val="left"/>
        <w:rPr>
          <w:rFonts w:asciiTheme="majorHAnsi" w:hAnsiTheme="majorHAnsi" w:cstheme="majorHAnsi"/>
          <w:szCs w:val="24"/>
        </w:rPr>
      </w:pPr>
      <m:oMathPara>
        <m:oMath>
          <m:sSub>
            <m:sSubPr>
              <m:ctrlPr>
                <w:rPr>
                  <w:rFonts w:ascii="Cambria Math" w:hAnsi="Cambria Math" w:cstheme="majorHAnsi"/>
                  <w:i/>
                  <w:szCs w:val="24"/>
                </w:rPr>
              </m:ctrlPr>
            </m:sSubPr>
            <m:e>
              <m:r>
                <w:rPr>
                  <w:rFonts w:ascii="Cambria Math" w:hAnsi="Cambria Math" w:cstheme="majorHAnsi"/>
                  <w:szCs w:val="24"/>
                </w:rPr>
                <m:t>ρ</m:t>
              </m:r>
            </m:e>
            <m:sub>
              <m:r>
                <m:rPr>
                  <m:sty m:val="p"/>
                </m:rPr>
                <w:rPr>
                  <w:rFonts w:ascii="Cambria Math" w:hAnsi="Cambria Math" w:cstheme="majorHAnsi"/>
                  <w:szCs w:val="24"/>
                </w:rPr>
                <m:t>I</m:t>
              </m:r>
            </m:sub>
          </m:sSub>
          <m:r>
            <w:rPr>
              <w:rFonts w:ascii="Cambria Math" w:hAnsi="Cambria Math" w:cstheme="majorHAnsi"/>
              <w:szCs w:val="24"/>
            </w:rPr>
            <m:t>=</m:t>
          </m:r>
          <m:f>
            <m:fPr>
              <m:ctrlPr>
                <w:rPr>
                  <w:rFonts w:ascii="Cambria Math" w:hAnsi="Cambria Math" w:cstheme="majorHAnsi"/>
                  <w:i/>
                  <w:szCs w:val="24"/>
                </w:rPr>
              </m:ctrlPr>
            </m:fPr>
            <m:num>
              <m:d>
                <m:dPr>
                  <m:ctrlPr>
                    <w:rPr>
                      <w:rFonts w:ascii="Cambria Math" w:hAnsi="Cambria Math" w:cstheme="majorHAnsi"/>
                      <w:i/>
                      <w:szCs w:val="24"/>
                    </w:rPr>
                  </m:ctrlPr>
                </m:dPr>
                <m:e>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S,H</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A,H</m:t>
                      </m:r>
                    </m:sub>
                  </m:sSub>
                </m:e>
              </m:d>
              <m:d>
                <m:dPr>
                  <m:ctrlPr>
                    <w:rPr>
                      <w:rFonts w:ascii="Cambria Math" w:hAnsi="Cambria Math" w:cstheme="majorHAnsi"/>
                      <w:i/>
                      <w:szCs w:val="24"/>
                    </w:rPr>
                  </m:ctrlPr>
                </m:dPr>
                <m:e>
                  <m:sSub>
                    <m:sSubPr>
                      <m:ctrlPr>
                        <w:rPr>
                          <w:rFonts w:ascii="Cambria Math" w:hAnsi="Cambria Math" w:cstheme="majorHAnsi"/>
                          <w:szCs w:val="24"/>
                        </w:rPr>
                      </m:ctrlPr>
                    </m:sSubPr>
                    <m:e>
                      <m: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L</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A,L</m:t>
                      </m:r>
                    </m:sub>
                  </m:sSub>
                </m:e>
              </m:d>
              <m:r>
                <w:rPr>
                  <w:rFonts w:ascii="Cambria Math" w:hAnsi="Cambria Math" w:cstheme="majorHAnsi"/>
                  <w:szCs w:val="24"/>
                </w:rPr>
                <m:t>-</m:t>
              </m:r>
              <m:d>
                <m:dPr>
                  <m:ctrlPr>
                    <w:rPr>
                      <w:rFonts w:ascii="Cambria Math" w:hAnsi="Cambria Math" w:cstheme="majorHAnsi"/>
                      <w:i/>
                      <w:szCs w:val="24"/>
                    </w:rPr>
                  </m:ctrlPr>
                </m:dPr>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S,L</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A,L</m:t>
                      </m:r>
                    </m:sub>
                  </m:sSub>
                </m:e>
              </m:d>
              <m:d>
                <m:dPr>
                  <m:ctrlPr>
                    <w:rPr>
                      <w:rFonts w:ascii="Cambria Math" w:hAnsi="Cambria Math" w:cstheme="majorHAnsi"/>
                      <w:i/>
                      <w:szCs w:val="24"/>
                    </w:rPr>
                  </m:ctrlPr>
                </m:dPr>
                <m:e>
                  <m:sSub>
                    <m:sSubPr>
                      <m:ctrlPr>
                        <w:rPr>
                          <w:rFonts w:ascii="Cambria Math" w:hAnsi="Cambria Math" w:cstheme="majorHAnsi"/>
                          <w:szCs w:val="24"/>
                        </w:rPr>
                      </m:ctrlPr>
                    </m:sSubPr>
                    <m:e>
                      <m: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,H</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A,H</m:t>
                      </m:r>
                    </m:sub>
                  </m:sSub>
                </m:e>
              </m:d>
            </m:num>
            <m:den>
              <m:d>
                <m:dPr>
                  <m:ctrlPr>
                    <w:rPr>
                      <w:rFonts w:ascii="Cambria Math" w:hAnsi="Cambria Math" w:cstheme="majorHAnsi"/>
                      <w:i/>
                      <w:szCs w:val="24"/>
                    </w:rPr>
                  </m:ctrlPr>
                </m:dPr>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S,L</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A,L</m:t>
                      </m:r>
                    </m:sub>
                  </m:sSub>
                </m:e>
              </m:d>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R</m:t>
                  </m:r>
                </m:e>
                <m:sub>
                  <m:r>
                    <m:rPr>
                      <m:sty m:val="p"/>
                    </m:rPr>
                    <w:rPr>
                      <w:rFonts w:ascii="Cambria Math" w:hAnsi="Cambria Math" w:cstheme="majorHAnsi"/>
                      <w:szCs w:val="24"/>
                    </w:rPr>
                    <m:t>I</m:t>
                  </m:r>
                </m:sub>
              </m:sSub>
              <m:d>
                <m:dPr>
                  <m:ctrlPr>
                    <w:rPr>
                      <w:rFonts w:ascii="Cambria Math" w:hAnsi="Cambria Math" w:cstheme="majorHAnsi"/>
                      <w:i/>
                      <w:szCs w:val="24"/>
                    </w:rPr>
                  </m:ctrlPr>
                </m:dPr>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S,H</m:t>
                      </m:r>
                    </m:sub>
                  </m:sSub>
                  <m:r>
                    <w:rPr>
                      <w:rFonts w:ascii="Cambria Math" w:hAnsi="Cambria Math" w:cstheme="majorHAnsi"/>
                      <w:szCs w:val="24"/>
                    </w:rPr>
                    <m:t>-</m:t>
                  </m:r>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A,H</m:t>
                      </m:r>
                    </m:sub>
                  </m:sSub>
                </m:e>
              </m:d>
            </m:den>
          </m:f>
        </m:oMath>
      </m:oMathPara>
    </w:p>
    <w:p w14:paraId="151C2F20" w14:textId="77777777" w:rsidR="0052561C" w:rsidRPr="008C0D55" w:rsidRDefault="0052561C" w:rsidP="001F3C94">
      <w:pPr>
        <w:rPr>
          <w:rFonts w:asciiTheme="majorHAnsi" w:hAnsiTheme="majorHAnsi" w:cstheme="majorHAnsi"/>
          <w:szCs w:val="24"/>
        </w:rPr>
      </w:pPr>
    </w:p>
    <w:p w14:paraId="399CAECD" w14:textId="6BA78813" w:rsidR="00996C39" w:rsidRPr="008C0D55" w:rsidRDefault="00996C39" w:rsidP="001F3C94">
      <w:pPr>
        <w:rPr>
          <w:rFonts w:asciiTheme="majorHAnsi" w:hAnsiTheme="majorHAnsi" w:cstheme="majorHAnsi"/>
          <w:szCs w:val="24"/>
        </w:rPr>
      </w:pPr>
      <w:r w:rsidRPr="008C0D55">
        <w:rPr>
          <w:rFonts w:asciiTheme="majorHAnsi" w:hAnsiTheme="majorHAnsi" w:cstheme="majorHAnsi"/>
          <w:szCs w:val="24"/>
        </w:rPr>
        <w:t xml:space="preserve">After solving for </w:t>
      </w:r>
      <m:oMath>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S</m:t>
            </m:r>
          </m:sub>
        </m:sSub>
      </m:oMath>
      <w:r w:rsidRPr="008C0D55">
        <w:rPr>
          <w:rFonts w:asciiTheme="majorHAnsi" w:hAnsiTheme="majorHAnsi" w:cstheme="majorHAnsi"/>
          <w:szCs w:val="24"/>
        </w:rPr>
        <w:t>, virtual noncontrast (VNC) images were formed by projecting the measured intensities onto the two-material subspace of air and soft tissue:</w:t>
      </w:r>
    </w:p>
    <w:p w14:paraId="4AEAC4B7" w14:textId="77777777" w:rsidR="00996C39" w:rsidRPr="008C0D55" w:rsidRDefault="008C0D55" w:rsidP="001F3C94">
      <w:pPr>
        <w:rPr>
          <w:rFonts w:asciiTheme="majorHAnsi" w:hAnsiTheme="majorHAnsi" w:cstheme="majorHAnsi"/>
          <w:szCs w:val="24"/>
        </w:rPr>
      </w:pPr>
      <m:oMathPara>
        <m:oMath>
          <m:d>
            <m:dPr>
              <m:begChr m:val="["/>
              <m:endChr m:val="]"/>
              <m:ctrlPr>
                <w:rPr>
                  <w:rFonts w:ascii="Cambria Math" w:hAnsi="Cambria Math" w:cstheme="majorHAnsi"/>
                  <w:i/>
                  <w:szCs w:val="24"/>
                </w:rPr>
              </m:ctrlPr>
            </m:dPr>
            <m:e>
              <m:m>
                <m:mPr>
                  <m:mcs>
                    <m:mc>
                      <m:mcPr>
                        <m:count m:val="1"/>
                        <m:mcJc m:val="center"/>
                      </m:mcPr>
                    </m:mc>
                  </m:mcs>
                  <m:ctrlPr>
                    <w:rPr>
                      <w:rFonts w:ascii="Cambria Math" w:hAnsi="Cambria Math" w:cstheme="majorHAnsi"/>
                      <w:szCs w:val="24"/>
                    </w:rPr>
                  </m:ctrlPr>
                </m:mPr>
                <m:mr>
                  <m:e>
                    <m:sSub>
                      <m:sSubPr>
                        <m:ctrlPr>
                          <w:rPr>
                            <w:rFonts w:ascii="Cambria Math" w:hAnsi="Cambria Math" w:cstheme="majorHAnsi"/>
                            <w:szCs w:val="24"/>
                          </w:rPr>
                        </m:ctrlPr>
                      </m:sSubPr>
                      <m:e>
                        <m:r>
                          <m:rPr>
                            <m:sty m:val="p"/>
                          </m:rPr>
                          <w:rPr>
                            <w:rFonts w:ascii="Cambria Math" w:hAnsi="Cambria Math" w:cstheme="majorHAnsi"/>
                            <w:szCs w:val="24"/>
                          </w:rPr>
                          <m:t>VNC</m:t>
                        </m:r>
                      </m:e>
                      <m:sub>
                        <m:r>
                          <m:rPr>
                            <m:sty m:val="p"/>
                          </m:rPr>
                          <w:rPr>
                            <w:rFonts w:ascii="Cambria Math" w:hAnsi="Cambria Math" w:cstheme="majorHAnsi"/>
                            <w:szCs w:val="24"/>
                          </w:rPr>
                          <m:t>L</m:t>
                        </m:r>
                      </m:sub>
                    </m:sSub>
                  </m:e>
                </m:mr>
                <m:mr>
                  <m:e>
                    <m:sSub>
                      <m:sSubPr>
                        <m:ctrlPr>
                          <w:rPr>
                            <w:rFonts w:ascii="Cambria Math" w:hAnsi="Cambria Math" w:cstheme="majorHAnsi"/>
                            <w:szCs w:val="24"/>
                          </w:rPr>
                        </m:ctrlPr>
                      </m:sSubPr>
                      <m:e>
                        <m:r>
                          <m:rPr>
                            <m:sty m:val="p"/>
                          </m:rPr>
                          <w:rPr>
                            <w:rFonts w:ascii="Cambria Math" w:hAnsi="Cambria Math" w:cstheme="majorHAnsi"/>
                            <w:szCs w:val="24"/>
                          </w:rPr>
                          <m:t>VNC</m:t>
                        </m:r>
                      </m:e>
                      <m:sub>
                        <m:r>
                          <m:rPr>
                            <m:sty m:val="p"/>
                          </m:rPr>
                          <w:rPr>
                            <w:rFonts w:ascii="Cambria Math" w:hAnsi="Cambria Math" w:cstheme="majorHAnsi"/>
                            <w:szCs w:val="24"/>
                          </w:rPr>
                          <m:t>H</m:t>
                        </m:r>
                      </m:sub>
                    </m:sSub>
                  </m:e>
                </m:mr>
              </m:m>
            </m:e>
          </m:d>
          <m:r>
            <w:rPr>
              <w:rFonts w:ascii="Cambria Math" w:hAnsi="Cambria Math" w:cstheme="majorHAnsi"/>
              <w:szCs w:val="24"/>
            </w:rPr>
            <m:t>=</m:t>
          </m:r>
          <m:d>
            <m:dPr>
              <m:begChr m:val="["/>
              <m:endChr m:val="]"/>
              <m:ctrlPr>
                <w:rPr>
                  <w:rFonts w:ascii="Cambria Math" w:hAnsi="Cambria Math" w:cstheme="majorHAnsi"/>
                  <w:i/>
                  <w:szCs w:val="24"/>
                </w:rPr>
              </m:ctrlPr>
            </m:dPr>
            <m:e>
              <m:m>
                <m:mPr>
                  <m:mcs>
                    <m:mc>
                      <m:mcPr>
                        <m:count m:val="2"/>
                        <m:mcJc m:val="center"/>
                      </m:mcPr>
                    </m:mc>
                  </m:mcs>
                  <m:ctrlPr>
                    <w:rPr>
                      <w:rFonts w:ascii="Cambria Math" w:hAnsi="Cambria Math" w:cstheme="majorHAnsi"/>
                      <w:i/>
                      <w:szCs w:val="24"/>
                    </w:rPr>
                  </m:ctrlPr>
                </m:mPr>
                <m:mr>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S,L</m:t>
                        </m:r>
                      </m:sub>
                    </m:sSub>
                  </m:e>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A,L</m:t>
                        </m:r>
                      </m:sub>
                    </m:sSub>
                  </m:e>
                </m:mr>
                <m:mr>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S,H</m:t>
                        </m:r>
                      </m:sub>
                    </m:sSub>
                  </m:e>
                  <m:e>
                    <m:sSub>
                      <m:sSubPr>
                        <m:ctrlPr>
                          <w:rPr>
                            <w:rFonts w:ascii="Cambria Math" w:hAnsi="Cambria Math" w:cstheme="majorHAnsi"/>
                            <w:i/>
                            <w:szCs w:val="24"/>
                          </w:rPr>
                        </m:ctrlPr>
                      </m:sSubPr>
                      <m:e>
                        <m:r>
                          <w:rPr>
                            <w:rFonts w:ascii="Cambria Math" w:hAnsi="Cambria Math" w:cstheme="majorHAnsi"/>
                            <w:szCs w:val="24"/>
                          </w:rPr>
                          <m:t>C</m:t>
                        </m:r>
                      </m:e>
                      <m:sub>
                        <m:r>
                          <m:rPr>
                            <m:sty m:val="p"/>
                          </m:rPr>
                          <w:rPr>
                            <w:rFonts w:ascii="Cambria Math" w:hAnsi="Cambria Math" w:cstheme="majorHAnsi"/>
                            <w:szCs w:val="24"/>
                          </w:rPr>
                          <m:t>A,H</m:t>
                        </m:r>
                      </m:sub>
                    </m:sSub>
                  </m:e>
                </m:mr>
              </m:m>
            </m:e>
          </m:d>
          <m:d>
            <m:dPr>
              <m:begChr m:val="["/>
              <m:endChr m:val="]"/>
              <m:ctrlPr>
                <w:rPr>
                  <w:rFonts w:ascii="Cambria Math" w:hAnsi="Cambria Math" w:cstheme="majorHAnsi"/>
                  <w:i/>
                  <w:szCs w:val="24"/>
                </w:rPr>
              </m:ctrlPr>
            </m:dPr>
            <m:e>
              <m:m>
                <m:mPr>
                  <m:mcs>
                    <m:mc>
                      <m:mcPr>
                        <m:count m:val="1"/>
                        <m:mcJc m:val="center"/>
                      </m:mcPr>
                    </m:mc>
                  </m:mcs>
                  <m:ctrlPr>
                    <w:rPr>
                      <w:rFonts w:ascii="Cambria Math" w:hAnsi="Cambria Math" w:cstheme="majorHAnsi"/>
                      <w:i/>
                      <w:szCs w:val="24"/>
                    </w:rPr>
                  </m:ctrlPr>
                </m:mPr>
                <m:mr>
                  <m:e>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S</m:t>
                        </m:r>
                      </m:sub>
                    </m:sSub>
                  </m:e>
                </m:mr>
                <m:mr>
                  <m:e>
                    <m:r>
                      <w:rPr>
                        <w:rFonts w:ascii="Cambria Math" w:hAnsi="Cambria Math" w:cstheme="majorHAnsi"/>
                        <w:szCs w:val="24"/>
                      </w:rPr>
                      <m:t>1-</m:t>
                    </m:r>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S</m:t>
                        </m:r>
                      </m:sub>
                    </m:sSub>
                  </m:e>
                </m:mr>
              </m:m>
            </m:e>
          </m:d>
        </m:oMath>
      </m:oMathPara>
    </w:p>
    <w:p w14:paraId="2B897CF2" w14:textId="2D4B88F3" w:rsidR="00996C39" w:rsidRPr="008C0D55" w:rsidRDefault="00996C39" w:rsidP="001F3C94">
      <w:pPr>
        <w:rPr>
          <w:rFonts w:asciiTheme="majorHAnsi" w:hAnsiTheme="majorHAnsi" w:cstheme="majorHAnsi"/>
          <w:szCs w:val="24"/>
        </w:rPr>
      </w:pPr>
      <w:r w:rsidRPr="008C0D55">
        <w:rPr>
          <w:rFonts w:asciiTheme="majorHAnsi" w:hAnsiTheme="majorHAnsi" w:cstheme="majorHAnsi"/>
          <w:szCs w:val="24"/>
        </w:rPr>
        <w:t xml:space="preserve">The </w:t>
      </w:r>
      <w:r w:rsidR="00522EB9" w:rsidRPr="008C0D55">
        <w:rPr>
          <w:rFonts w:asciiTheme="majorHAnsi" w:hAnsiTheme="majorHAnsi" w:cstheme="majorHAnsi"/>
          <w:szCs w:val="24"/>
        </w:rPr>
        <w:t>pulmonary</w:t>
      </w:r>
      <w:r w:rsidRPr="008C0D55">
        <w:rPr>
          <w:rFonts w:asciiTheme="majorHAnsi" w:hAnsiTheme="majorHAnsi" w:cstheme="majorHAnsi"/>
          <w:szCs w:val="24"/>
        </w:rPr>
        <w:t xml:space="preserve"> blood volume (PBV) was then computed as the magnitude of the difference between the measured intensities and the VNC intensities, coercing nonphysical negative values of </w:t>
      </w:r>
      <m:oMath>
        <m:sSub>
          <m:sSubPr>
            <m:ctrlPr>
              <w:rPr>
                <w:rFonts w:ascii="Cambria Math" w:hAnsi="Cambria Math" w:cstheme="majorHAnsi"/>
                <w:i/>
                <w:szCs w:val="24"/>
              </w:rPr>
            </m:ctrlPr>
          </m:sSubPr>
          <m:e>
            <m:r>
              <w:rPr>
                <w:rFonts w:ascii="Cambria Math" w:hAnsi="Cambria Math" w:cstheme="majorHAnsi"/>
                <w:szCs w:val="24"/>
              </w:rPr>
              <m:t>ρ</m:t>
            </m:r>
          </m:e>
          <m:sub>
            <m:r>
              <m:rPr>
                <m:sty m:val="p"/>
              </m:rPr>
              <w:rPr>
                <w:rFonts w:ascii="Cambria Math" w:hAnsi="Cambria Math" w:cstheme="majorHAnsi"/>
                <w:szCs w:val="24"/>
              </w:rPr>
              <m:t>I</m:t>
            </m:r>
          </m:sub>
        </m:sSub>
      </m:oMath>
      <w:r w:rsidRPr="008C0D55">
        <w:rPr>
          <w:rFonts w:asciiTheme="majorHAnsi" w:hAnsiTheme="majorHAnsi" w:cstheme="majorHAnsi"/>
          <w:szCs w:val="24"/>
        </w:rPr>
        <w:t xml:space="preserve"> to zero:</w:t>
      </w:r>
    </w:p>
    <w:p w14:paraId="710F244F" w14:textId="152F9095" w:rsidR="006678EF" w:rsidRPr="008C0D55" w:rsidRDefault="00996C39" w:rsidP="001F3C94">
      <w:pPr>
        <w:rPr>
          <w:rFonts w:asciiTheme="majorHAnsi" w:hAnsiTheme="majorHAnsi" w:cstheme="majorHAnsi"/>
          <w:szCs w:val="24"/>
        </w:rPr>
      </w:pPr>
      <m:oMathPara>
        <m:oMath>
          <m:r>
            <m:rPr>
              <m:sty m:val="p"/>
            </m:rPr>
            <w:rPr>
              <w:rFonts w:ascii="Cambria Math" w:hAnsi="Cambria Math" w:cstheme="majorHAnsi"/>
              <w:szCs w:val="24"/>
            </w:rPr>
            <m:t>PBV=</m:t>
          </m:r>
          <m:d>
            <m:dPr>
              <m:begChr m:val="{"/>
              <m:endChr m:val=""/>
              <m:ctrlPr>
                <w:rPr>
                  <w:rFonts w:ascii="Cambria Math" w:hAnsi="Cambria Math" w:cstheme="majorHAnsi"/>
                  <w:szCs w:val="24"/>
                </w:rPr>
              </m:ctrlPr>
            </m:dPr>
            <m:e>
              <m:m>
                <m:mPr>
                  <m:mcs>
                    <m:mc>
                      <m:mcPr>
                        <m:count m:val="2"/>
                        <m:mcJc m:val="center"/>
                      </m:mcPr>
                    </m:mc>
                  </m:mcs>
                  <m:ctrlPr>
                    <w:rPr>
                      <w:rFonts w:ascii="Cambria Math" w:hAnsi="Cambria Math" w:cstheme="majorHAnsi"/>
                      <w:i/>
                      <w:szCs w:val="24"/>
                    </w:rPr>
                  </m:ctrlPr>
                </m:mPr>
                <m:mr>
                  <m:e>
                    <m:rad>
                      <m:radPr>
                        <m:degHide m:val="1"/>
                        <m:ctrlPr>
                          <w:rPr>
                            <w:rFonts w:ascii="Cambria Math" w:hAnsi="Cambria Math" w:cstheme="majorHAnsi"/>
                            <w:szCs w:val="24"/>
                          </w:rPr>
                        </m:ctrlPr>
                      </m:radPr>
                      <m:deg/>
                      <m:e>
                        <m:sSup>
                          <m:sSupPr>
                            <m:ctrlPr>
                              <w:rPr>
                                <w:rFonts w:ascii="Cambria Math" w:hAnsi="Cambria Math" w:cstheme="majorHAnsi"/>
                                <w:i/>
                                <w:szCs w:val="24"/>
                              </w:rPr>
                            </m:ctrlPr>
                          </m:sSupPr>
                          <m:e>
                            <m:d>
                              <m:dPr>
                                <m:ctrlPr>
                                  <w:rPr>
                                    <w:rFonts w:ascii="Cambria Math" w:hAnsi="Cambria Math" w:cstheme="majorHAnsi"/>
                                    <w:szCs w:val="24"/>
                                  </w:rPr>
                                </m:ctrlPr>
                              </m:dPr>
                              <m:e>
                                <m:sSub>
                                  <m:sSubPr>
                                    <m:ctrlPr>
                                      <w:rPr>
                                        <w:rFonts w:ascii="Cambria Math" w:hAnsi="Cambria Math" w:cstheme="majorHAnsi"/>
                                        <w:szCs w:val="24"/>
                                      </w:rPr>
                                    </m:ctrlPr>
                                  </m:sSubPr>
                                  <m:e>
                                    <m:r>
                                      <m:rPr>
                                        <m:sty m:val="p"/>
                                      </m:rP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,L</m:t>
                                    </m:r>
                                  </m:sub>
                                </m:sSub>
                                <m:r>
                                  <w:rPr>
                                    <w:rFonts w:ascii="Cambria Math" w:hAnsi="Cambria Math" w:cstheme="majorHAnsi"/>
                                    <w:szCs w:val="24"/>
                                  </w:rPr>
                                  <m:t>-</m:t>
                                </m:r>
                                <m:sSub>
                                  <m:sSubPr>
                                    <m:ctrlPr>
                                      <w:rPr>
                                        <w:rFonts w:ascii="Cambria Math" w:hAnsi="Cambria Math" w:cstheme="majorHAnsi"/>
                                        <w:szCs w:val="24"/>
                                      </w:rPr>
                                    </m:ctrlPr>
                                  </m:sSubPr>
                                  <m:e>
                                    <m:r>
                                      <m:rPr>
                                        <m:sty m:val="p"/>
                                      </m:rPr>
                                      <w:rPr>
                                        <w:rFonts w:ascii="Cambria Math" w:hAnsi="Cambria Math" w:cstheme="majorHAnsi"/>
                                        <w:szCs w:val="24"/>
                                      </w:rPr>
                                      <m:t>VNC</m:t>
                                    </m:r>
                                  </m:e>
                                  <m:sub>
                                    <m:r>
                                      <m:rPr>
                                        <m:sty m:val="p"/>
                                      </m:rPr>
                                      <w:rPr>
                                        <w:rFonts w:ascii="Cambria Math" w:hAnsi="Cambria Math" w:cstheme="majorHAnsi"/>
                                        <w:szCs w:val="24"/>
                                      </w:rPr>
                                      <m:t>L</m:t>
                                    </m:r>
                                  </m:sub>
                                </m:sSub>
                                <m:ctrlPr>
                                  <w:rPr>
                                    <w:rFonts w:ascii="Cambria Math" w:hAnsi="Cambria Math" w:cstheme="majorHAnsi"/>
                                    <w:i/>
                                    <w:szCs w:val="24"/>
                                  </w:rPr>
                                </m:ctrlPr>
                              </m:e>
                            </m:d>
                          </m:e>
                          <m:sup>
                            <m:r>
                              <w:rPr>
                                <w:rFonts w:ascii="Cambria Math" w:hAnsi="Cambria Math" w:cstheme="majorHAnsi"/>
                                <w:szCs w:val="24"/>
                              </w:rPr>
                              <m:t>2</m:t>
                            </m:r>
                          </m:sup>
                        </m:sSup>
                        <m:r>
                          <w:rPr>
                            <w:rFonts w:ascii="Cambria Math" w:hAnsi="Cambria Math" w:cstheme="majorHAnsi"/>
                            <w:szCs w:val="24"/>
                          </w:rPr>
                          <m:t>+</m:t>
                        </m:r>
                        <m:sSup>
                          <m:sSupPr>
                            <m:ctrlPr>
                              <w:rPr>
                                <w:rFonts w:ascii="Cambria Math" w:hAnsi="Cambria Math" w:cstheme="majorHAnsi"/>
                                <w:i/>
                                <w:szCs w:val="24"/>
                              </w:rPr>
                            </m:ctrlPr>
                          </m:sSupPr>
                          <m:e>
                            <m:d>
                              <m:dPr>
                                <m:ctrlPr>
                                  <w:rPr>
                                    <w:rFonts w:ascii="Cambria Math" w:hAnsi="Cambria Math" w:cstheme="majorHAnsi"/>
                                    <w:szCs w:val="24"/>
                                  </w:rPr>
                                </m:ctrlPr>
                              </m:dPr>
                              <m:e>
                                <m:sSub>
                                  <m:sSubPr>
                                    <m:ctrlPr>
                                      <w:rPr>
                                        <w:rFonts w:ascii="Cambria Math" w:hAnsi="Cambria Math" w:cstheme="majorHAnsi"/>
                                        <w:szCs w:val="24"/>
                                      </w:rPr>
                                    </m:ctrlPr>
                                  </m:sSubPr>
                                  <m:e>
                                    <m:r>
                                      <m:rPr>
                                        <m:sty m:val="p"/>
                                      </m:rPr>
                                      <w:rPr>
                                        <w:rFonts w:ascii="Cambria Math" w:hAnsi="Cambria Math" w:cstheme="majorHAnsi"/>
                                        <w:szCs w:val="24"/>
                                      </w:rPr>
                                      <m:t>C</m:t>
                                    </m:r>
                                  </m:e>
                                  <m:sub>
                                    <m:r>
                                      <w:rPr>
                                        <w:rFonts w:ascii="Cambria Math" w:hAnsi="Cambria Math" w:cstheme="majorHAnsi"/>
                                        <w:szCs w:val="24"/>
                                      </w:rPr>
                                      <m:t>x</m:t>
                                    </m:r>
                                    <m:r>
                                      <m:rPr>
                                        <m:sty m:val="p"/>
                                      </m:rPr>
                                      <w:rPr>
                                        <w:rFonts w:ascii="Cambria Math" w:hAnsi="Cambria Math" w:cstheme="majorHAnsi"/>
                                        <w:szCs w:val="24"/>
                                      </w:rPr>
                                      <m:t>,H</m:t>
                                    </m:r>
                                  </m:sub>
                                </m:sSub>
                                <m:r>
                                  <w:rPr>
                                    <w:rFonts w:ascii="Cambria Math" w:hAnsi="Cambria Math" w:cstheme="majorHAnsi"/>
                                    <w:szCs w:val="24"/>
                                  </w:rPr>
                                  <m:t>-</m:t>
                                </m:r>
                                <m:sSub>
                                  <m:sSubPr>
                                    <m:ctrlPr>
                                      <w:rPr>
                                        <w:rFonts w:ascii="Cambria Math" w:hAnsi="Cambria Math" w:cstheme="majorHAnsi"/>
                                        <w:szCs w:val="24"/>
                                      </w:rPr>
                                    </m:ctrlPr>
                                  </m:sSubPr>
                                  <m:e>
                                    <m:r>
                                      <m:rPr>
                                        <m:sty m:val="p"/>
                                      </m:rPr>
                                      <w:rPr>
                                        <w:rFonts w:ascii="Cambria Math" w:hAnsi="Cambria Math" w:cstheme="majorHAnsi"/>
                                        <w:szCs w:val="24"/>
                                      </w:rPr>
                                      <m:t>VNC</m:t>
                                    </m:r>
                                  </m:e>
                                  <m:sub>
                                    <m:r>
                                      <m:rPr>
                                        <m:sty m:val="p"/>
                                      </m:rPr>
                                      <w:rPr>
                                        <w:rFonts w:ascii="Cambria Math" w:hAnsi="Cambria Math" w:cstheme="majorHAnsi"/>
                                        <w:szCs w:val="24"/>
                                      </w:rPr>
                                      <m:t>H</m:t>
                                    </m:r>
                                  </m:sub>
                                </m:sSub>
                                <m:ctrlPr>
                                  <w:rPr>
                                    <w:rFonts w:ascii="Cambria Math" w:hAnsi="Cambria Math" w:cstheme="majorHAnsi"/>
                                    <w:i/>
                                    <w:szCs w:val="24"/>
                                  </w:rPr>
                                </m:ctrlPr>
                              </m:e>
                            </m:d>
                          </m:e>
                          <m:sup>
                            <m:r>
                              <w:rPr>
                                <w:rFonts w:ascii="Cambria Math" w:hAnsi="Cambria Math" w:cstheme="majorHAnsi"/>
                                <w:szCs w:val="24"/>
                              </w:rPr>
                              <m:t>2</m:t>
                            </m:r>
                          </m:sup>
                        </m:sSup>
                      </m:e>
                    </m:rad>
                  </m:e>
                  <m:e>
                    <m:sSub>
                      <m:sSubPr>
                        <m:ctrlPr>
                          <w:rPr>
                            <w:rFonts w:ascii="Cambria Math" w:hAnsi="Cambria Math" w:cstheme="majorHAnsi"/>
                            <w:i/>
                            <w:szCs w:val="24"/>
                          </w:rPr>
                        </m:ctrlPr>
                      </m:sSubPr>
                      <m:e>
                        <m:r>
                          <w:rPr>
                            <w:rFonts w:ascii="Cambria Math" w:hAnsi="Cambria Math" w:cstheme="majorHAnsi"/>
                            <w:szCs w:val="24"/>
                          </w:rPr>
                          <m:t>ρ</m:t>
                        </m:r>
                      </m:e>
                      <m:sub>
                        <m:r>
                          <m:rPr>
                            <m:sty m:val="p"/>
                          </m:rPr>
                          <w:rPr>
                            <w:rFonts w:ascii="Cambria Math" w:hAnsi="Cambria Math" w:cstheme="majorHAnsi"/>
                            <w:szCs w:val="24"/>
                          </w:rPr>
                          <m:t>I</m:t>
                        </m:r>
                      </m:sub>
                    </m:sSub>
                    <m:r>
                      <w:rPr>
                        <w:rFonts w:ascii="Cambria Math" w:hAnsi="Cambria Math" w:cstheme="majorHAnsi"/>
                        <w:szCs w:val="24"/>
                      </w:rPr>
                      <m:t>≥</m:t>
                    </m:r>
                    <m:r>
                      <m:rPr>
                        <m:sty m:val="p"/>
                      </m:rPr>
                      <w:rPr>
                        <w:rFonts w:ascii="Cambria Math" w:hAnsi="Cambria Math" w:cstheme="majorHAnsi"/>
                        <w:szCs w:val="24"/>
                      </w:rPr>
                      <m:t>0</m:t>
                    </m:r>
                  </m:e>
                </m:mr>
                <m:mr>
                  <m:e>
                    <m:r>
                      <w:rPr>
                        <w:rFonts w:ascii="Cambria Math" w:hAnsi="Cambria Math" w:cstheme="majorHAnsi"/>
                        <w:szCs w:val="24"/>
                      </w:rPr>
                      <m:t>0</m:t>
                    </m:r>
                  </m:e>
                  <m:e>
                    <m:r>
                      <m:rPr>
                        <m:sty m:val="p"/>
                      </m:rPr>
                      <w:rPr>
                        <w:rFonts w:ascii="Cambria Math" w:hAnsi="Cambria Math" w:cstheme="majorHAnsi"/>
                        <w:szCs w:val="24"/>
                      </w:rPr>
                      <m:t>otherwise</m:t>
                    </m:r>
                  </m:e>
                </m:mr>
              </m:m>
            </m:e>
          </m:d>
        </m:oMath>
      </m:oMathPara>
    </w:p>
    <w:p w14:paraId="54285A81" w14:textId="34886E61" w:rsidR="009A0E22" w:rsidRPr="008C0D55" w:rsidRDefault="009A0E22" w:rsidP="00522EB9">
      <w:pPr>
        <w:spacing w:line="240" w:lineRule="auto"/>
        <w:ind w:firstLine="0"/>
        <w:jc w:val="left"/>
        <w:rPr>
          <w:rFonts w:asciiTheme="majorHAnsi" w:hAnsiTheme="majorHAnsi" w:cstheme="majorHAnsi"/>
          <w:b/>
          <w:bCs/>
          <w:szCs w:val="24"/>
        </w:rPr>
      </w:pPr>
    </w:p>
    <w:p w14:paraId="41F0555E" w14:textId="1E4786D3" w:rsidR="0052561C" w:rsidRPr="008C0D55" w:rsidRDefault="0052561C" w:rsidP="0052561C">
      <w:pPr>
        <w:ind w:firstLine="0"/>
        <w:rPr>
          <w:rFonts w:asciiTheme="majorHAnsi" w:hAnsiTheme="majorHAnsi" w:cstheme="majorHAnsi"/>
          <w:szCs w:val="24"/>
        </w:rPr>
      </w:pPr>
      <w:r w:rsidRPr="008C0D55">
        <w:rPr>
          <w:rFonts w:asciiTheme="majorHAnsi" w:hAnsiTheme="majorHAnsi" w:cstheme="majorHAnsi"/>
          <w:szCs w:val="24"/>
        </w:rPr>
        <w:t xml:space="preserve">A gas-to-blood ratio for each voxel was defined as the ratio of mean-normalized gas fraction </w:t>
      </w:r>
      <m:oMath>
        <m:f>
          <m:fPr>
            <m:type m:val="lin"/>
            <m:ctrlPr>
              <w:rPr>
                <w:rFonts w:ascii="Cambria Math" w:hAnsi="Cambria Math" w:cstheme="majorHAnsi"/>
                <w:i/>
                <w:szCs w:val="24"/>
              </w:rPr>
            </m:ctrlPr>
          </m:fPr>
          <m:num>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A</m:t>
                </m:r>
              </m:sub>
            </m:sSub>
          </m:num>
          <m:den>
            <m:acc>
              <m:accPr>
                <m:chr m:val="̅"/>
                <m:ctrlPr>
                  <w:rPr>
                    <w:rFonts w:ascii="Cambria Math" w:hAnsi="Cambria Math" w:cstheme="majorHAnsi"/>
                    <w:i/>
                    <w:szCs w:val="24"/>
                  </w:rPr>
                </m:ctrlPr>
              </m:accPr>
              <m:e>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A</m:t>
                    </m:r>
                  </m:sub>
                </m:sSub>
              </m:e>
            </m:acc>
          </m:den>
        </m:f>
      </m:oMath>
      <w:r w:rsidRPr="008C0D55">
        <w:rPr>
          <w:rFonts w:asciiTheme="majorHAnsi" w:hAnsiTheme="majorHAnsi" w:cstheme="majorHAnsi"/>
          <w:szCs w:val="24"/>
        </w:rPr>
        <w:t xml:space="preserve"> to mean-normalized </w:t>
      </w:r>
      <w:r w:rsidR="00900A33" w:rsidRPr="008C0D55">
        <w:rPr>
          <w:rFonts w:asciiTheme="majorHAnsi" w:hAnsiTheme="majorHAnsi" w:cstheme="majorHAnsi"/>
          <w:szCs w:val="24"/>
        </w:rPr>
        <w:t>pulmonary</w:t>
      </w:r>
      <w:r w:rsidRPr="008C0D55">
        <w:rPr>
          <w:rFonts w:asciiTheme="majorHAnsi" w:hAnsiTheme="majorHAnsi" w:cstheme="majorHAnsi"/>
          <w:szCs w:val="24"/>
        </w:rPr>
        <w:t xml:space="preserve"> blood volume </w:t>
      </w:r>
      <m:oMath>
        <m:f>
          <m:fPr>
            <m:type m:val="lin"/>
            <m:ctrlPr>
              <w:rPr>
                <w:rFonts w:ascii="Cambria Math" w:hAnsi="Cambria Math" w:cstheme="majorHAnsi"/>
                <w:i/>
                <w:szCs w:val="24"/>
              </w:rPr>
            </m:ctrlPr>
          </m:fPr>
          <m:num>
            <m:r>
              <m:rPr>
                <m:sty m:val="p"/>
              </m:rPr>
              <w:rPr>
                <w:rFonts w:ascii="Cambria Math" w:hAnsi="Cambria Math" w:cstheme="majorHAnsi"/>
                <w:szCs w:val="24"/>
              </w:rPr>
              <m:t>PBV</m:t>
            </m:r>
          </m:num>
          <m:den>
            <m:acc>
              <m:accPr>
                <m:chr m:val="̅"/>
                <m:ctrlPr>
                  <w:rPr>
                    <w:rFonts w:ascii="Cambria Math" w:hAnsi="Cambria Math" w:cstheme="majorHAnsi"/>
                    <w:i/>
                    <w:szCs w:val="24"/>
                  </w:rPr>
                </m:ctrlPr>
              </m:accPr>
              <m:e>
                <m:r>
                  <m:rPr>
                    <m:sty m:val="p"/>
                  </m:rPr>
                  <w:rPr>
                    <w:rFonts w:ascii="Cambria Math" w:hAnsi="Cambria Math" w:cstheme="majorHAnsi"/>
                    <w:szCs w:val="24"/>
                  </w:rPr>
                  <m:t>PBV</m:t>
                </m:r>
              </m:e>
            </m:acc>
          </m:den>
        </m:f>
      </m:oMath>
      <w:r w:rsidRPr="008C0D55">
        <w:rPr>
          <w:rFonts w:asciiTheme="majorHAnsi" w:hAnsiTheme="majorHAnsi" w:cstheme="majorHAnsi"/>
          <w:szCs w:val="24"/>
        </w:rPr>
        <w:t>:</w:t>
      </w:r>
    </w:p>
    <w:p w14:paraId="3C07BE8E" w14:textId="53939EFE" w:rsidR="0052561C" w:rsidRPr="008C0D55" w:rsidRDefault="0052561C" w:rsidP="0052561C">
      <w:pPr>
        <w:rPr>
          <w:rFonts w:asciiTheme="majorHAnsi" w:hAnsiTheme="majorHAnsi" w:cstheme="majorHAnsi"/>
          <w:szCs w:val="24"/>
        </w:rPr>
      </w:pPr>
      <m:oMathPara>
        <m:oMath>
          <m:r>
            <m:rPr>
              <m:sty m:val="p"/>
            </m:rPr>
            <w:rPr>
              <w:rFonts w:ascii="Cambria Math" w:hAnsi="Cambria Math" w:cstheme="majorHAnsi"/>
              <w:szCs w:val="24"/>
            </w:rPr>
            <m:t>Gas:Blood volume ratio</m:t>
          </m:r>
          <m:r>
            <w:rPr>
              <w:rFonts w:ascii="Cambria Math" w:hAnsi="Cambria Math" w:cstheme="majorHAnsi"/>
              <w:szCs w:val="24"/>
            </w:rPr>
            <m:t>=</m:t>
          </m:r>
          <m:f>
            <m:fPr>
              <m:ctrlPr>
                <w:rPr>
                  <w:rFonts w:ascii="Cambria Math" w:hAnsi="Cambria Math" w:cstheme="majorHAnsi"/>
                  <w:i/>
                  <w:szCs w:val="24"/>
                </w:rPr>
              </m:ctrlPr>
            </m:fPr>
            <m:num>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A</m:t>
                  </m:r>
                </m:sub>
              </m:sSub>
              <m:r>
                <w:rPr>
                  <w:rFonts w:ascii="Cambria Math" w:hAnsi="Cambria Math" w:cstheme="majorHAnsi"/>
                  <w:szCs w:val="24"/>
                </w:rPr>
                <m:t>⋅</m:t>
              </m:r>
              <m:acc>
                <m:accPr>
                  <m:chr m:val="̅"/>
                  <m:ctrlPr>
                    <w:rPr>
                      <w:rFonts w:ascii="Cambria Math" w:hAnsi="Cambria Math" w:cstheme="majorHAnsi"/>
                      <w:i/>
                      <w:szCs w:val="24"/>
                    </w:rPr>
                  </m:ctrlPr>
                </m:accPr>
                <m:e>
                  <m:r>
                    <m:rPr>
                      <m:sty m:val="p"/>
                    </m:rPr>
                    <w:rPr>
                      <w:rFonts w:ascii="Cambria Math" w:hAnsi="Cambria Math" w:cstheme="majorHAnsi"/>
                      <w:szCs w:val="24"/>
                    </w:rPr>
                    <m:t>PBV</m:t>
                  </m:r>
                </m:e>
              </m:acc>
            </m:num>
            <m:den>
              <m:r>
                <m:rPr>
                  <m:sty m:val="p"/>
                </m:rPr>
                <w:rPr>
                  <w:rFonts w:ascii="Cambria Math" w:hAnsi="Cambria Math" w:cstheme="majorHAnsi"/>
                  <w:szCs w:val="24"/>
                </w:rPr>
                <m:t>PBV</m:t>
              </m:r>
              <m:r>
                <w:rPr>
                  <w:rFonts w:ascii="Cambria Math" w:hAnsi="Cambria Math" w:cstheme="majorHAnsi"/>
                  <w:szCs w:val="24"/>
                </w:rPr>
                <m:t>⋅</m:t>
              </m:r>
              <m:acc>
                <m:accPr>
                  <m:chr m:val="̅"/>
                  <m:ctrlPr>
                    <w:rPr>
                      <w:rFonts w:ascii="Cambria Math" w:hAnsi="Cambria Math" w:cstheme="majorHAnsi"/>
                      <w:i/>
                      <w:szCs w:val="24"/>
                    </w:rPr>
                  </m:ctrlPr>
                </m:accPr>
                <m:e>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A</m:t>
                      </m:r>
                    </m:sub>
                  </m:sSub>
                </m:e>
              </m:acc>
            </m:den>
          </m:f>
        </m:oMath>
      </m:oMathPara>
    </w:p>
    <w:p w14:paraId="10262B66" w14:textId="3FBB0998" w:rsidR="0052561C" w:rsidRPr="008C0D55" w:rsidRDefault="0052561C" w:rsidP="0052561C">
      <w:pPr>
        <w:ind w:firstLine="0"/>
        <w:rPr>
          <w:rFonts w:asciiTheme="majorHAnsi" w:hAnsiTheme="majorHAnsi" w:cstheme="majorHAnsi"/>
          <w:szCs w:val="24"/>
        </w:rPr>
      </w:pPr>
      <w:r w:rsidRPr="008C0D55">
        <w:rPr>
          <w:rFonts w:asciiTheme="majorHAnsi" w:hAnsiTheme="majorHAnsi" w:cstheme="majorHAnsi"/>
          <w:szCs w:val="24"/>
        </w:rPr>
        <w:t xml:space="preserve">This definition ensures that a </w:t>
      </w:r>
      <w:r w:rsidR="00A94F1C" w:rsidRPr="008C0D55">
        <w:rPr>
          <w:rFonts w:asciiTheme="majorHAnsi" w:hAnsiTheme="majorHAnsi" w:cstheme="majorHAnsi"/>
          <w:szCs w:val="24"/>
        </w:rPr>
        <w:t>gas</w:t>
      </w:r>
      <w:r w:rsidR="00900A33" w:rsidRPr="008C0D55">
        <w:rPr>
          <w:rFonts w:asciiTheme="majorHAnsi" w:hAnsiTheme="majorHAnsi" w:cstheme="majorHAnsi"/>
          <w:szCs w:val="24"/>
        </w:rPr>
        <w:t>:blood volume rat</w:t>
      </w:r>
      <w:r w:rsidRPr="008C0D55">
        <w:rPr>
          <w:rFonts w:asciiTheme="majorHAnsi" w:hAnsiTheme="majorHAnsi" w:cstheme="majorHAnsi"/>
          <w:szCs w:val="24"/>
        </w:rPr>
        <w:t xml:space="preserve">io of 1 corresponds to proportionately matched aeration and PBV. Note that the distribution of values </w:t>
      </w:r>
      <m:oMath>
        <m:f>
          <m:fPr>
            <m:type m:val="lin"/>
            <m:ctrlPr>
              <w:rPr>
                <w:rFonts w:ascii="Cambria Math" w:hAnsi="Cambria Math" w:cstheme="majorHAnsi"/>
                <w:i/>
                <w:szCs w:val="24"/>
              </w:rPr>
            </m:ctrlPr>
          </m:fPr>
          <m:num>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A</m:t>
                </m:r>
              </m:sub>
            </m:sSub>
            <m:r>
              <w:rPr>
                <w:rFonts w:ascii="Cambria Math" w:hAnsi="Cambria Math" w:cstheme="majorHAnsi"/>
                <w:szCs w:val="24"/>
              </w:rPr>
              <m:t>⋅</m:t>
            </m:r>
            <m:acc>
              <m:accPr>
                <m:chr m:val="̅"/>
                <m:ctrlPr>
                  <w:rPr>
                    <w:rFonts w:ascii="Cambria Math" w:hAnsi="Cambria Math" w:cstheme="majorHAnsi"/>
                    <w:i/>
                    <w:szCs w:val="24"/>
                  </w:rPr>
                </m:ctrlPr>
              </m:accPr>
              <m:e>
                <m:r>
                  <m:rPr>
                    <m:sty m:val="p"/>
                  </m:rPr>
                  <w:rPr>
                    <w:rFonts w:ascii="Cambria Math" w:hAnsi="Cambria Math" w:cstheme="majorHAnsi"/>
                    <w:szCs w:val="24"/>
                  </w:rPr>
                  <m:t>PBV</m:t>
                </m:r>
              </m:e>
            </m:acc>
          </m:num>
          <m:den>
            <m:acc>
              <m:accPr>
                <m:chr m:val="̅"/>
                <m:ctrlPr>
                  <w:rPr>
                    <w:rFonts w:ascii="Cambria Math" w:hAnsi="Cambria Math" w:cstheme="majorHAnsi"/>
                    <w:i/>
                    <w:szCs w:val="24"/>
                  </w:rPr>
                </m:ctrlPr>
              </m:accPr>
              <m:e>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A</m:t>
                    </m:r>
                  </m:sub>
                </m:sSub>
              </m:e>
            </m:acc>
          </m:den>
        </m:f>
      </m:oMath>
      <w:r w:rsidRPr="008C0D55">
        <w:rPr>
          <w:rFonts w:asciiTheme="majorHAnsi" w:hAnsiTheme="majorHAnsi" w:cstheme="majorHAnsi"/>
          <w:szCs w:val="24"/>
        </w:rPr>
        <w:t xml:space="preserve"> describes a perfectly aeration-matched blood volume distribution with the same mean as the measured PBV distribution but with every value directly proportional to </w:t>
      </w:r>
      <m:oMath>
        <m:sSub>
          <m:sSubPr>
            <m:ctrlPr>
              <w:rPr>
                <w:rFonts w:ascii="Cambria Math" w:hAnsi="Cambria Math" w:cstheme="majorHAnsi"/>
                <w:i/>
                <w:szCs w:val="24"/>
              </w:rPr>
            </m:ctrlPr>
          </m:sSubPr>
          <m:e>
            <m:r>
              <w:rPr>
                <w:rFonts w:ascii="Cambria Math" w:hAnsi="Cambria Math" w:cstheme="majorHAnsi"/>
                <w:szCs w:val="24"/>
              </w:rPr>
              <m:t>f</m:t>
            </m:r>
          </m:e>
          <m:sub>
            <m:r>
              <m:rPr>
                <m:sty m:val="p"/>
              </m:rPr>
              <w:rPr>
                <w:rFonts w:ascii="Cambria Math" w:hAnsi="Cambria Math" w:cstheme="majorHAnsi"/>
                <w:szCs w:val="24"/>
              </w:rPr>
              <m:t>A</m:t>
            </m:r>
          </m:sub>
        </m:sSub>
      </m:oMath>
      <w:r w:rsidRPr="008C0D55">
        <w:rPr>
          <w:rFonts w:asciiTheme="majorHAnsi" w:hAnsiTheme="majorHAnsi" w:cstheme="majorHAnsi"/>
          <w:szCs w:val="24"/>
        </w:rPr>
        <w:t>, representing the same total blood volume distributed in a manner everywhere proportional to gas fraction.</w:t>
      </w:r>
      <w:r w:rsidR="00F4236B" w:rsidRPr="008C0D55">
        <w:rPr>
          <w:rFonts w:asciiTheme="majorHAnsi" w:hAnsiTheme="majorHAnsi" w:cstheme="majorHAnsi"/>
          <w:szCs w:val="24"/>
        </w:rPr>
        <w:t xml:space="preserve"> </w:t>
      </w:r>
      <w:r w:rsidRPr="008C0D55">
        <w:rPr>
          <w:rFonts w:asciiTheme="majorHAnsi" w:hAnsiTheme="majorHAnsi" w:cstheme="majorHAnsi"/>
          <w:szCs w:val="24"/>
        </w:rPr>
        <w:t xml:space="preserve">A </w:t>
      </w:r>
      <w:r w:rsidR="00A94F1C" w:rsidRPr="008C0D55">
        <w:rPr>
          <w:rFonts w:asciiTheme="majorHAnsi" w:hAnsiTheme="majorHAnsi" w:cstheme="majorHAnsi"/>
          <w:szCs w:val="24"/>
        </w:rPr>
        <w:t>gas</w:t>
      </w:r>
      <w:r w:rsidR="00900A33" w:rsidRPr="008C0D55">
        <w:rPr>
          <w:rFonts w:asciiTheme="majorHAnsi" w:hAnsiTheme="majorHAnsi" w:cstheme="majorHAnsi"/>
          <w:szCs w:val="24"/>
        </w:rPr>
        <w:t>:blood volume rat</w:t>
      </w:r>
      <w:r w:rsidRPr="008C0D55">
        <w:rPr>
          <w:rFonts w:asciiTheme="majorHAnsi" w:hAnsiTheme="majorHAnsi" w:cstheme="majorHAnsi"/>
          <w:szCs w:val="24"/>
        </w:rPr>
        <w:t>io of 1 implies that the measured PBV is equal to this aeration-matched blood volume.</w:t>
      </w:r>
    </w:p>
    <w:p w14:paraId="1FB2418C" w14:textId="235BAB6B" w:rsidR="00522EB9" w:rsidRPr="008C0D55" w:rsidRDefault="00522EB9">
      <w:pPr>
        <w:jc w:val="left"/>
        <w:rPr>
          <w:rFonts w:asciiTheme="majorHAnsi" w:hAnsiTheme="majorHAnsi" w:cstheme="majorHAnsi"/>
          <w:b/>
          <w:bCs/>
          <w:sz w:val="20"/>
          <w:szCs w:val="20"/>
        </w:rPr>
      </w:pPr>
    </w:p>
    <w:p w14:paraId="3766C789" w14:textId="77777777" w:rsidR="00CC0753" w:rsidRPr="008C0D55" w:rsidRDefault="00CC0753">
      <w:pPr>
        <w:jc w:val="left"/>
        <w:rPr>
          <w:rFonts w:asciiTheme="majorHAnsi" w:hAnsiTheme="majorHAnsi" w:cstheme="majorHAnsi"/>
          <w:b/>
          <w:bCs/>
          <w:szCs w:val="24"/>
        </w:rPr>
      </w:pPr>
      <w:r w:rsidRPr="008C0D55">
        <w:rPr>
          <w:rFonts w:asciiTheme="majorHAnsi" w:hAnsiTheme="majorHAnsi" w:cstheme="majorHAnsi"/>
          <w:b/>
          <w:bCs/>
          <w:szCs w:val="24"/>
        </w:rPr>
        <w:br w:type="page"/>
      </w:r>
    </w:p>
    <w:p w14:paraId="4A8D412A" w14:textId="2853265D" w:rsidR="00DA16B1" w:rsidRPr="008C0D55" w:rsidRDefault="00DA16B1" w:rsidP="00BC5E79">
      <w:pPr>
        <w:pStyle w:val="Heading1"/>
      </w:pPr>
      <w:bookmarkStart w:id="5" w:name="_Toc70700758"/>
      <w:r w:rsidRPr="008C0D55">
        <w:t xml:space="preserve">eFigure </w:t>
      </w:r>
      <w:r w:rsidR="00F564B0" w:rsidRPr="008C0D55">
        <w:t>1</w:t>
      </w:r>
      <w:r w:rsidRPr="008C0D55">
        <w:t>: Ventral – dorsal analysis</w:t>
      </w:r>
      <w:bookmarkEnd w:id="5"/>
    </w:p>
    <w:p w14:paraId="1E3E322B" w14:textId="1A3534B0" w:rsidR="00DA16B1" w:rsidRPr="008C0D55" w:rsidRDefault="00364E88" w:rsidP="00DA16B1">
      <w:pPr>
        <w:ind w:firstLine="0"/>
        <w:jc w:val="center"/>
        <w:rPr>
          <w:rFonts w:asciiTheme="majorHAnsi" w:hAnsiTheme="majorHAnsi" w:cstheme="majorHAnsi"/>
          <w:b/>
          <w:bCs/>
          <w:szCs w:val="24"/>
        </w:rPr>
      </w:pPr>
      <w:r w:rsidRPr="008C0D55">
        <w:rPr>
          <w:rFonts w:asciiTheme="majorHAnsi" w:hAnsiTheme="majorHAnsi" w:cstheme="majorHAnsi"/>
          <w:b/>
          <w:bCs/>
          <w:noProof/>
          <w:szCs w:val="24"/>
          <w:lang w:val="en-IN" w:eastAsia="en-IN"/>
        </w:rPr>
        <w:drawing>
          <wp:inline distT="0" distB="0" distL="0" distR="0" wp14:anchorId="0632FC96" wp14:editId="0D1BBE71">
            <wp:extent cx="5755640" cy="57245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5640" cy="5724525"/>
                    </a:xfrm>
                    <a:prstGeom prst="rect">
                      <a:avLst/>
                    </a:prstGeom>
                  </pic:spPr>
                </pic:pic>
              </a:graphicData>
            </a:graphic>
          </wp:inline>
        </w:drawing>
      </w:r>
    </w:p>
    <w:p w14:paraId="04E8A37B" w14:textId="51100932" w:rsidR="00DA16B1" w:rsidRPr="008C0D55" w:rsidRDefault="00DA16B1" w:rsidP="00522EB9">
      <w:pPr>
        <w:ind w:firstLine="0"/>
        <w:rPr>
          <w:rFonts w:asciiTheme="majorHAnsi" w:hAnsiTheme="majorHAnsi" w:cstheme="majorHAnsi"/>
          <w:b/>
          <w:bCs/>
          <w:szCs w:val="24"/>
        </w:rPr>
      </w:pPr>
      <w:r w:rsidRPr="008C0D55">
        <w:rPr>
          <w:rFonts w:asciiTheme="majorHAnsi" w:hAnsiTheme="majorHAnsi" w:cstheme="majorHAnsi"/>
          <w:b/>
          <w:bCs/>
        </w:rPr>
        <w:t xml:space="preserve">eFigure </w:t>
      </w:r>
      <w:r w:rsidR="00F564B0" w:rsidRPr="008C0D55">
        <w:rPr>
          <w:rFonts w:asciiTheme="majorHAnsi" w:hAnsiTheme="majorHAnsi" w:cstheme="majorHAnsi"/>
          <w:b/>
          <w:bCs/>
        </w:rPr>
        <w:t>1</w:t>
      </w:r>
      <w:r w:rsidRPr="008C0D55">
        <w:rPr>
          <w:rFonts w:asciiTheme="majorHAnsi" w:hAnsiTheme="majorHAnsi" w:cstheme="majorHAnsi"/>
          <w:b/>
          <w:bCs/>
        </w:rPr>
        <w:t>:</w:t>
      </w:r>
      <w:r w:rsidRPr="008C0D55">
        <w:rPr>
          <w:rFonts w:asciiTheme="majorHAnsi" w:hAnsiTheme="majorHAnsi" w:cstheme="majorHAnsi"/>
        </w:rPr>
        <w:t xml:space="preserve"> Quantitative DECT analysis in three ventral, middle</w:t>
      </w:r>
      <w:r w:rsidR="00F4236B" w:rsidRPr="008C0D55">
        <w:rPr>
          <w:rFonts w:asciiTheme="majorHAnsi" w:hAnsiTheme="majorHAnsi" w:cstheme="majorHAnsi"/>
        </w:rPr>
        <w:t>,</w:t>
      </w:r>
      <w:r w:rsidRPr="008C0D55">
        <w:rPr>
          <w:rFonts w:asciiTheme="majorHAnsi" w:hAnsiTheme="majorHAnsi" w:cstheme="majorHAnsi"/>
        </w:rPr>
        <w:t xml:space="preserve"> and dorsal regions of interest with equal lung mass. DECT: dual-energy computed tomography.</w:t>
      </w:r>
    </w:p>
    <w:p w14:paraId="7EC497F2" w14:textId="77777777" w:rsidR="00DA16B1" w:rsidRPr="008C0D55" w:rsidRDefault="00DA16B1">
      <w:pPr>
        <w:jc w:val="left"/>
        <w:rPr>
          <w:rFonts w:asciiTheme="majorHAnsi" w:hAnsiTheme="majorHAnsi" w:cstheme="majorHAnsi"/>
          <w:b/>
          <w:bCs/>
          <w:szCs w:val="24"/>
        </w:rPr>
      </w:pPr>
      <w:r w:rsidRPr="008C0D55">
        <w:rPr>
          <w:rFonts w:asciiTheme="majorHAnsi" w:hAnsiTheme="majorHAnsi" w:cstheme="majorHAnsi"/>
          <w:b/>
          <w:bCs/>
          <w:szCs w:val="24"/>
        </w:rPr>
        <w:br w:type="page"/>
      </w:r>
    </w:p>
    <w:p w14:paraId="5CCA4F23" w14:textId="2CF8DBCA" w:rsidR="00996C39" w:rsidRPr="008C0D55" w:rsidRDefault="009A0E22" w:rsidP="00BC5E79">
      <w:pPr>
        <w:pStyle w:val="Heading1"/>
      </w:pPr>
      <w:bookmarkStart w:id="6" w:name="_Toc70700759"/>
      <w:r w:rsidRPr="008C0D55">
        <w:t xml:space="preserve">eFigure </w:t>
      </w:r>
      <w:r w:rsidR="00F564B0" w:rsidRPr="008C0D55">
        <w:t>2</w:t>
      </w:r>
      <w:r w:rsidRPr="008C0D55">
        <w:t xml:space="preserve">: </w:t>
      </w:r>
      <w:r w:rsidR="00996C39" w:rsidRPr="008C0D55">
        <w:t>Apical – caudal analysis</w:t>
      </w:r>
      <w:bookmarkEnd w:id="6"/>
    </w:p>
    <w:p w14:paraId="32F2A875" w14:textId="7DF6195B" w:rsidR="00996C39" w:rsidRPr="008C0D55" w:rsidRDefault="00364E88" w:rsidP="00996C39">
      <w:pPr>
        <w:rPr>
          <w:rFonts w:asciiTheme="majorHAnsi" w:hAnsiTheme="majorHAnsi" w:cstheme="majorHAnsi"/>
          <w:b/>
          <w:bCs/>
          <w:sz w:val="20"/>
          <w:szCs w:val="20"/>
        </w:rPr>
      </w:pPr>
      <w:r w:rsidRPr="008C0D55">
        <w:rPr>
          <w:rFonts w:asciiTheme="majorHAnsi" w:hAnsiTheme="majorHAnsi" w:cstheme="majorHAnsi"/>
          <w:b/>
          <w:bCs/>
          <w:noProof/>
          <w:sz w:val="20"/>
          <w:szCs w:val="20"/>
          <w:lang w:val="en-IN" w:eastAsia="en-IN"/>
        </w:rPr>
        <w:drawing>
          <wp:inline distT="0" distB="0" distL="0" distR="0" wp14:anchorId="6537A1C8" wp14:editId="5EA49FE7">
            <wp:extent cx="5755640" cy="56216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5640" cy="5621655"/>
                    </a:xfrm>
                    <a:prstGeom prst="rect">
                      <a:avLst/>
                    </a:prstGeom>
                  </pic:spPr>
                </pic:pic>
              </a:graphicData>
            </a:graphic>
          </wp:inline>
        </w:drawing>
      </w:r>
    </w:p>
    <w:p w14:paraId="0F026016" w14:textId="4EBD0EC2" w:rsidR="00057E98" w:rsidRPr="008C0D55" w:rsidRDefault="00EF4D43" w:rsidP="00EF4D43">
      <w:pPr>
        <w:pStyle w:val="Body"/>
        <w:ind w:firstLine="0"/>
        <w:rPr>
          <w:rFonts w:asciiTheme="majorHAnsi" w:hAnsiTheme="majorHAnsi" w:cstheme="majorHAnsi"/>
          <w:color w:val="auto"/>
        </w:rPr>
      </w:pPr>
      <w:r w:rsidRPr="008C0D55">
        <w:rPr>
          <w:rFonts w:asciiTheme="majorHAnsi" w:hAnsiTheme="majorHAnsi" w:cstheme="majorHAnsi"/>
          <w:b/>
          <w:bCs/>
          <w:color w:val="auto"/>
        </w:rPr>
        <w:t xml:space="preserve">eFigure </w:t>
      </w:r>
      <w:r w:rsidR="00F564B0" w:rsidRPr="008C0D55">
        <w:rPr>
          <w:rFonts w:asciiTheme="majorHAnsi" w:hAnsiTheme="majorHAnsi" w:cstheme="majorHAnsi"/>
          <w:b/>
          <w:bCs/>
          <w:color w:val="auto"/>
        </w:rPr>
        <w:t>2</w:t>
      </w:r>
      <w:r w:rsidRPr="008C0D55">
        <w:rPr>
          <w:rFonts w:asciiTheme="majorHAnsi" w:hAnsiTheme="majorHAnsi" w:cstheme="majorHAnsi"/>
          <w:b/>
          <w:bCs/>
          <w:color w:val="auto"/>
        </w:rPr>
        <w:t>:</w:t>
      </w:r>
      <w:r w:rsidRPr="008C0D55">
        <w:rPr>
          <w:rFonts w:asciiTheme="majorHAnsi" w:hAnsiTheme="majorHAnsi" w:cstheme="majorHAnsi"/>
          <w:color w:val="auto"/>
        </w:rPr>
        <w:t xml:space="preserve"> </w:t>
      </w:r>
      <w:r w:rsidR="002D4056" w:rsidRPr="008C0D55">
        <w:rPr>
          <w:rFonts w:asciiTheme="majorHAnsi" w:hAnsiTheme="majorHAnsi" w:cstheme="majorHAnsi"/>
          <w:color w:val="auto"/>
        </w:rPr>
        <w:t>Q</w:t>
      </w:r>
      <w:r w:rsidRPr="008C0D55">
        <w:rPr>
          <w:rFonts w:asciiTheme="majorHAnsi" w:hAnsiTheme="majorHAnsi" w:cstheme="majorHAnsi"/>
          <w:color w:val="auto"/>
        </w:rPr>
        <w:t xml:space="preserve">uantitative </w:t>
      </w:r>
      <w:r w:rsidR="002D4056" w:rsidRPr="008C0D55">
        <w:rPr>
          <w:rFonts w:asciiTheme="majorHAnsi" w:hAnsiTheme="majorHAnsi" w:cstheme="majorHAnsi"/>
          <w:color w:val="auto"/>
        </w:rPr>
        <w:t xml:space="preserve">DECT </w:t>
      </w:r>
      <w:r w:rsidRPr="008C0D55">
        <w:rPr>
          <w:rFonts w:asciiTheme="majorHAnsi" w:hAnsiTheme="majorHAnsi" w:cstheme="majorHAnsi"/>
          <w:color w:val="auto"/>
        </w:rPr>
        <w:t>analysis in three apical, hilar</w:t>
      </w:r>
      <w:r w:rsidR="00F4236B" w:rsidRPr="008C0D55">
        <w:rPr>
          <w:rFonts w:asciiTheme="majorHAnsi" w:hAnsiTheme="majorHAnsi" w:cstheme="majorHAnsi"/>
          <w:color w:val="auto"/>
        </w:rPr>
        <w:t>,</w:t>
      </w:r>
      <w:r w:rsidRPr="008C0D55">
        <w:rPr>
          <w:rFonts w:asciiTheme="majorHAnsi" w:hAnsiTheme="majorHAnsi" w:cstheme="majorHAnsi"/>
          <w:color w:val="auto"/>
        </w:rPr>
        <w:t xml:space="preserve"> and caudal regions of interest with equal lung mass. DECT: dual-energy computed tomography.</w:t>
      </w:r>
    </w:p>
    <w:p w14:paraId="7C09B34B" w14:textId="77777777" w:rsidR="00057E98" w:rsidRPr="008C0D55" w:rsidRDefault="00057E98">
      <w:pPr>
        <w:jc w:val="left"/>
        <w:rPr>
          <w:rFonts w:asciiTheme="majorHAnsi" w:eastAsia="Arial Unicode MS" w:hAnsiTheme="majorHAnsi" w:cstheme="majorHAnsi"/>
          <w:szCs w:val="24"/>
          <w:u w:color="000000"/>
          <w:bdr w:val="nil"/>
          <w:lang w:eastAsia="it-IT"/>
        </w:rPr>
      </w:pPr>
      <w:r w:rsidRPr="008C0D55">
        <w:rPr>
          <w:rFonts w:asciiTheme="majorHAnsi" w:hAnsiTheme="majorHAnsi" w:cstheme="majorHAnsi"/>
        </w:rPr>
        <w:br w:type="page"/>
      </w:r>
    </w:p>
    <w:p w14:paraId="7D1E0E29" w14:textId="50BCFE3E" w:rsidR="00057E98" w:rsidRPr="008C0D55" w:rsidRDefault="00057E98" w:rsidP="00057E98">
      <w:pPr>
        <w:pStyle w:val="Heading1"/>
      </w:pPr>
      <w:bookmarkStart w:id="7" w:name="_Toc70700760"/>
      <w:r w:rsidRPr="008C0D55">
        <w:t>eFigure 3: Regional distribution of pulmonary blood volume</w:t>
      </w:r>
      <w:bookmarkEnd w:id="7"/>
    </w:p>
    <w:p w14:paraId="25518671" w14:textId="77777777" w:rsidR="00057E98" w:rsidRPr="008C0D55" w:rsidRDefault="00057E98" w:rsidP="00EF4D43">
      <w:pPr>
        <w:pStyle w:val="Body"/>
        <w:ind w:firstLine="0"/>
        <w:rPr>
          <w:rFonts w:asciiTheme="majorHAnsi" w:hAnsiTheme="majorHAnsi" w:cstheme="majorHAnsi"/>
          <w:b/>
          <w:bCs/>
          <w:color w:val="auto"/>
          <w:sz w:val="20"/>
          <w:szCs w:val="20"/>
        </w:rPr>
      </w:pPr>
    </w:p>
    <w:p w14:paraId="0C4CECBA" w14:textId="67D45A79" w:rsidR="00057E98" w:rsidRPr="008C0D55" w:rsidRDefault="00706538" w:rsidP="0073583C">
      <w:pPr>
        <w:pStyle w:val="Body"/>
        <w:ind w:firstLine="0"/>
        <w:jc w:val="center"/>
        <w:rPr>
          <w:rFonts w:asciiTheme="majorHAnsi" w:hAnsiTheme="majorHAnsi" w:cstheme="majorHAnsi"/>
          <w:b/>
          <w:bCs/>
          <w:color w:val="auto"/>
          <w:sz w:val="20"/>
          <w:szCs w:val="20"/>
        </w:rPr>
      </w:pPr>
      <w:r w:rsidRPr="008C0D55">
        <w:rPr>
          <w:rFonts w:asciiTheme="majorHAnsi" w:hAnsiTheme="majorHAnsi" w:cstheme="majorHAnsi"/>
          <w:b/>
          <w:bCs/>
          <w:noProof/>
          <w:color w:val="auto"/>
          <w:sz w:val="20"/>
          <w:szCs w:val="20"/>
          <w:lang w:val="en-IN" w:eastAsia="en-IN"/>
        </w:rPr>
        <w:drawing>
          <wp:inline distT="0" distB="0" distL="0" distR="0" wp14:anchorId="589FD548" wp14:editId="1E39A1C8">
            <wp:extent cx="5755640" cy="53676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stretch>
                      <a:fillRect/>
                    </a:stretch>
                  </pic:blipFill>
                  <pic:spPr>
                    <a:xfrm>
                      <a:off x="0" y="0"/>
                      <a:ext cx="5755640" cy="5367655"/>
                    </a:xfrm>
                    <a:prstGeom prst="rect">
                      <a:avLst/>
                    </a:prstGeom>
                  </pic:spPr>
                </pic:pic>
              </a:graphicData>
            </a:graphic>
          </wp:inline>
        </w:drawing>
      </w:r>
    </w:p>
    <w:p w14:paraId="7E22642C" w14:textId="53DC4F68" w:rsidR="00057E98" w:rsidRPr="008C0D55" w:rsidRDefault="00057E98" w:rsidP="00706538">
      <w:pPr>
        <w:pStyle w:val="Body"/>
        <w:ind w:firstLine="0"/>
        <w:rPr>
          <w:rFonts w:asciiTheme="majorHAnsi" w:hAnsiTheme="majorHAnsi" w:cstheme="majorHAnsi"/>
          <w:color w:val="auto"/>
        </w:rPr>
      </w:pPr>
      <w:r w:rsidRPr="008C0D55">
        <w:rPr>
          <w:rFonts w:asciiTheme="majorHAnsi" w:hAnsiTheme="majorHAnsi" w:cstheme="majorHAnsi"/>
          <w:b/>
          <w:bCs/>
          <w:color w:val="auto"/>
        </w:rPr>
        <w:t>eFigure 3:</w:t>
      </w:r>
      <w:r w:rsidRPr="008C0D55">
        <w:rPr>
          <w:rFonts w:asciiTheme="majorHAnsi" w:hAnsiTheme="majorHAnsi" w:cstheme="majorHAnsi"/>
          <w:color w:val="auto"/>
        </w:rPr>
        <w:t xml:space="preserve"> Distribution of pulmonary blood volume in three ventral, middle, dorsal and three apical, hilar</w:t>
      </w:r>
      <w:r w:rsidR="00F4236B" w:rsidRPr="008C0D55">
        <w:rPr>
          <w:rFonts w:asciiTheme="majorHAnsi" w:hAnsiTheme="majorHAnsi" w:cstheme="majorHAnsi"/>
          <w:color w:val="auto"/>
        </w:rPr>
        <w:t>,</w:t>
      </w:r>
      <w:r w:rsidRPr="008C0D55">
        <w:rPr>
          <w:rFonts w:asciiTheme="majorHAnsi" w:hAnsiTheme="majorHAnsi" w:cstheme="majorHAnsi"/>
          <w:color w:val="auto"/>
        </w:rPr>
        <w:t xml:space="preserve"> and caudal regions of interest with equal lung mass.</w:t>
      </w:r>
      <w:r w:rsidR="00706538" w:rsidRPr="008C0D55">
        <w:rPr>
          <w:rFonts w:asciiTheme="majorHAnsi" w:hAnsiTheme="majorHAnsi" w:cstheme="majorHAnsi"/>
          <w:color w:val="auto"/>
        </w:rPr>
        <w:t xml:space="preserve"> </w:t>
      </w:r>
      <w:r w:rsidR="00706538" w:rsidRPr="008C0D55">
        <w:rPr>
          <w:rFonts w:asciiTheme="majorHAnsi" w:hAnsiTheme="majorHAnsi"/>
          <w:bCs/>
          <w:color w:val="auto"/>
        </w:rPr>
        <w:t xml:space="preserve">The PBV distribution was similar in patients receiving non-invasive (A) versus invasive (B) respiratory support (mixed-effects linear model with a random effect for patient and fixed effects for ROI and type of respiratory support: </w:t>
      </w:r>
      <w:r w:rsidR="00706538" w:rsidRPr="008C0D55">
        <w:rPr>
          <w:color w:val="auto"/>
        </w:rPr>
        <w:t>ROI p&lt;0.001, type of respiratory support p=0.99, interaction p=0.52)</w:t>
      </w:r>
      <w:r w:rsidR="00706538" w:rsidRPr="008C0D55">
        <w:rPr>
          <w:rFonts w:asciiTheme="majorHAnsi" w:hAnsiTheme="majorHAnsi"/>
          <w:bCs/>
          <w:color w:val="auto"/>
        </w:rPr>
        <w:t>.</w:t>
      </w:r>
      <w:r w:rsidRPr="008C0D55">
        <w:rPr>
          <w:rFonts w:asciiTheme="majorHAnsi" w:hAnsiTheme="majorHAnsi" w:cstheme="majorHAnsi"/>
          <w:color w:val="auto"/>
        </w:rPr>
        <w:t xml:space="preserve"> </w:t>
      </w:r>
      <w:r w:rsidR="00706538" w:rsidRPr="008C0D55">
        <w:rPr>
          <w:rFonts w:asciiTheme="majorHAnsi" w:hAnsiTheme="majorHAnsi" w:cstheme="majorHAnsi"/>
          <w:color w:val="auto"/>
        </w:rPr>
        <w:t xml:space="preserve">PBV: pulmonary blood volume; </w:t>
      </w:r>
      <w:r w:rsidRPr="008C0D55">
        <w:rPr>
          <w:rFonts w:asciiTheme="majorHAnsi" w:hAnsiTheme="majorHAnsi" w:cstheme="majorHAnsi"/>
          <w:color w:val="auto"/>
        </w:rPr>
        <w:t>DECT: dual-energy computed tomography.</w:t>
      </w:r>
    </w:p>
    <w:p w14:paraId="22860096" w14:textId="08B3425A" w:rsidR="001F3C94" w:rsidRPr="008C0D55" w:rsidRDefault="001F3C94" w:rsidP="003E39FF">
      <w:pPr>
        <w:pStyle w:val="Body"/>
        <w:ind w:firstLine="0"/>
        <w:rPr>
          <w:rFonts w:asciiTheme="majorHAnsi" w:hAnsiTheme="majorHAnsi" w:cstheme="majorHAnsi"/>
          <w:color w:val="auto"/>
        </w:rPr>
        <w:sectPr w:rsidR="001F3C94" w:rsidRPr="008C0D55" w:rsidSect="00EA17E0">
          <w:headerReference w:type="even" r:id="rId11"/>
          <w:headerReference w:type="default" r:id="rId12"/>
          <w:pgSz w:w="11900" w:h="16840"/>
          <w:pgMar w:top="1418" w:right="1418" w:bottom="1418" w:left="1418" w:header="709" w:footer="709" w:gutter="0"/>
          <w:cols w:space="708"/>
          <w:titlePg/>
          <w:docGrid w:linePitch="360"/>
        </w:sectPr>
      </w:pPr>
    </w:p>
    <w:p w14:paraId="625F726A" w14:textId="03BC25F2" w:rsidR="00AA585C" w:rsidRPr="008C0D55" w:rsidRDefault="00AA585C" w:rsidP="00BC5E79">
      <w:pPr>
        <w:pStyle w:val="Heading1"/>
      </w:pPr>
      <w:bookmarkStart w:id="8" w:name="_Toc70700761"/>
      <w:r w:rsidRPr="008C0D55">
        <w:t xml:space="preserve">eTable </w:t>
      </w:r>
      <w:r w:rsidR="00DC4BDC" w:rsidRPr="008C0D55">
        <w:t>1</w:t>
      </w:r>
      <w:r w:rsidRPr="008C0D55">
        <w:t>: Linear regression of PaO</w:t>
      </w:r>
      <w:r w:rsidRPr="008C0D55">
        <w:rPr>
          <w:vertAlign w:val="subscript"/>
        </w:rPr>
        <w:t>2</w:t>
      </w:r>
      <w:r w:rsidRPr="008C0D55">
        <w:t>/FiO</w:t>
      </w:r>
      <w:r w:rsidRPr="008C0D55">
        <w:rPr>
          <w:vertAlign w:val="subscript"/>
        </w:rPr>
        <w:t>2</w:t>
      </w:r>
      <w:r w:rsidRPr="008C0D55">
        <w:t xml:space="preserve"> as function of </w:t>
      </w:r>
      <w:r w:rsidR="00706538" w:rsidRPr="008C0D55">
        <w:rPr>
          <w:rFonts w:cs="Times New Roman (Headings CS)"/>
        </w:rPr>
        <w:t>gas:blood</w:t>
      </w:r>
      <w:r w:rsidR="00706538" w:rsidRPr="008C0D55">
        <w:rPr>
          <w:caps w:val="0"/>
        </w:rPr>
        <w:t xml:space="preserve"> </w:t>
      </w:r>
      <w:r w:rsidRPr="008C0D55">
        <w:t>matching</w:t>
      </w:r>
      <w:bookmarkEnd w:id="8"/>
    </w:p>
    <w:tbl>
      <w:tblPr>
        <w:tblStyle w:val="TableGrid"/>
        <w:tblW w:w="5000" w:type="pct"/>
        <w:tblLayout w:type="fixed"/>
        <w:tblLook w:val="04A0" w:firstRow="1" w:lastRow="0" w:firstColumn="1" w:lastColumn="0" w:noHBand="0" w:noVBand="1"/>
      </w:tblPr>
      <w:tblGrid>
        <w:gridCol w:w="4630"/>
        <w:gridCol w:w="2507"/>
        <w:gridCol w:w="1005"/>
        <w:gridCol w:w="1094"/>
      </w:tblGrid>
      <w:tr w:rsidR="008C0D55" w:rsidRPr="008C0D55" w14:paraId="0C3AFF93" w14:textId="77777777" w:rsidTr="00DC4BDC">
        <w:trPr>
          <w:trHeight w:val="716"/>
        </w:trPr>
        <w:tc>
          <w:tcPr>
            <w:tcW w:w="2507" w:type="pct"/>
            <w:noWrap/>
            <w:hideMark/>
          </w:tcPr>
          <w:p w14:paraId="2F148D98" w14:textId="77777777" w:rsidR="00713B38" w:rsidRPr="008C0D55" w:rsidRDefault="00713B38" w:rsidP="00713B38">
            <w:pPr>
              <w:ind w:firstLine="0"/>
              <w:jc w:val="left"/>
              <w:rPr>
                <w:rFonts w:ascii="Times New Roman" w:eastAsia="Times New Roman" w:hAnsi="Times New Roman" w:cs="Times New Roman"/>
                <w:sz w:val="20"/>
                <w:szCs w:val="20"/>
                <w:lang w:eastAsia="en-GB"/>
              </w:rPr>
            </w:pPr>
          </w:p>
        </w:tc>
        <w:tc>
          <w:tcPr>
            <w:tcW w:w="1357" w:type="pct"/>
            <w:noWrap/>
            <w:hideMark/>
          </w:tcPr>
          <w:p w14:paraId="5FBCA087" w14:textId="77777777" w:rsidR="00A558D5" w:rsidRPr="008C0D55" w:rsidRDefault="00713B38" w:rsidP="00713B38">
            <w:pPr>
              <w:ind w:firstLine="0"/>
              <w:jc w:val="left"/>
              <w:rPr>
                <w:rFonts w:ascii="Arial" w:eastAsia="Times New Roman" w:hAnsi="Arial" w:cs="Arial"/>
                <w:b/>
                <w:bCs/>
                <w:sz w:val="20"/>
                <w:szCs w:val="20"/>
                <w:lang w:eastAsia="en-GB"/>
              </w:rPr>
            </w:pPr>
            <w:r w:rsidRPr="008C0D55">
              <w:rPr>
                <w:rFonts w:ascii="Arial" w:eastAsia="Times New Roman" w:hAnsi="Arial" w:cs="Arial"/>
                <w:b/>
                <w:bCs/>
                <w:sz w:val="20"/>
                <w:szCs w:val="20"/>
                <w:lang w:eastAsia="en-GB"/>
              </w:rPr>
              <w:t>Regression coefficient</w:t>
            </w:r>
          </w:p>
          <w:p w14:paraId="4288CBE6" w14:textId="3A9E234A" w:rsidR="00713B38" w:rsidRPr="008C0D55" w:rsidRDefault="00713B38" w:rsidP="00713B38">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(95% confidence interval)</w:t>
            </w:r>
          </w:p>
        </w:tc>
        <w:tc>
          <w:tcPr>
            <w:tcW w:w="544" w:type="pct"/>
            <w:noWrap/>
            <w:hideMark/>
          </w:tcPr>
          <w:p w14:paraId="1502FB91" w14:textId="77777777" w:rsidR="00713B38" w:rsidRPr="008C0D55" w:rsidRDefault="00713B38" w:rsidP="00713B38">
            <w:pPr>
              <w:ind w:firstLine="0"/>
              <w:jc w:val="left"/>
              <w:rPr>
                <w:rFonts w:ascii="Arial" w:eastAsia="Times New Roman" w:hAnsi="Arial" w:cs="Arial"/>
                <w:b/>
                <w:bCs/>
                <w:sz w:val="20"/>
                <w:szCs w:val="20"/>
                <w:lang w:eastAsia="en-GB"/>
              </w:rPr>
            </w:pPr>
            <w:r w:rsidRPr="008C0D55">
              <w:rPr>
                <w:rFonts w:ascii="Arial" w:eastAsia="Times New Roman" w:hAnsi="Arial" w:cs="Arial"/>
                <w:b/>
                <w:bCs/>
                <w:sz w:val="20"/>
                <w:szCs w:val="20"/>
                <w:lang w:eastAsia="en-GB"/>
              </w:rPr>
              <w:t>p-value</w:t>
            </w:r>
          </w:p>
        </w:tc>
        <w:tc>
          <w:tcPr>
            <w:tcW w:w="592" w:type="pct"/>
            <w:noWrap/>
            <w:hideMark/>
          </w:tcPr>
          <w:p w14:paraId="2E79A851" w14:textId="0B60F521" w:rsidR="00713B38" w:rsidRPr="008C0D55" w:rsidRDefault="00713B38" w:rsidP="00713B38">
            <w:pPr>
              <w:ind w:firstLine="0"/>
              <w:jc w:val="left"/>
              <w:rPr>
                <w:rFonts w:ascii="Arial" w:eastAsia="Times New Roman" w:hAnsi="Arial" w:cs="Arial"/>
                <w:b/>
                <w:bCs/>
                <w:sz w:val="20"/>
                <w:szCs w:val="20"/>
                <w:lang w:eastAsia="en-GB"/>
              </w:rPr>
            </w:pPr>
            <w:r w:rsidRPr="008C0D55">
              <w:rPr>
                <w:rFonts w:ascii="Arial" w:eastAsia="Times New Roman" w:hAnsi="Arial" w:cs="Arial"/>
                <w:b/>
                <w:bCs/>
                <w:sz w:val="20"/>
                <w:szCs w:val="20"/>
                <w:lang w:eastAsia="en-GB"/>
              </w:rPr>
              <w:t xml:space="preserve">Variance </w:t>
            </w:r>
            <w:r w:rsidR="003E4F4D" w:rsidRPr="008C0D55">
              <w:rPr>
                <w:rFonts w:ascii="Arial" w:eastAsia="Times New Roman" w:hAnsi="Arial" w:cs="Arial"/>
                <w:b/>
                <w:bCs/>
                <w:sz w:val="20"/>
                <w:szCs w:val="20"/>
                <w:lang w:eastAsia="en-GB"/>
              </w:rPr>
              <w:t>Inflation Factor</w:t>
            </w:r>
          </w:p>
        </w:tc>
      </w:tr>
      <w:tr w:rsidR="008C0D55" w:rsidRPr="008C0D55" w14:paraId="5559996B" w14:textId="77777777" w:rsidTr="00DC4BDC">
        <w:trPr>
          <w:trHeight w:val="320"/>
        </w:trPr>
        <w:tc>
          <w:tcPr>
            <w:tcW w:w="2507" w:type="pct"/>
            <w:noWrap/>
          </w:tcPr>
          <w:p w14:paraId="3DA72427" w14:textId="44973928" w:rsidR="00ED02AC" w:rsidRPr="008C0D55" w:rsidRDefault="00ED02AC" w:rsidP="00713B38">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Invasive respiratory support (versus non-invasive)</w:t>
            </w:r>
          </w:p>
        </w:tc>
        <w:tc>
          <w:tcPr>
            <w:tcW w:w="1357" w:type="pct"/>
            <w:noWrap/>
          </w:tcPr>
          <w:p w14:paraId="5022C003" w14:textId="4E3EC98E" w:rsidR="00ED02AC" w:rsidRPr="008C0D55" w:rsidRDefault="00753A4D" w:rsidP="00713B38">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-28.9 (-71.5 – 13.8)</w:t>
            </w:r>
          </w:p>
        </w:tc>
        <w:tc>
          <w:tcPr>
            <w:tcW w:w="544" w:type="pct"/>
            <w:noWrap/>
          </w:tcPr>
          <w:p w14:paraId="602D16BE" w14:textId="09C7A37C" w:rsidR="00ED02AC" w:rsidRPr="008C0D55" w:rsidRDefault="00753A4D" w:rsidP="00713B38">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0.177</w:t>
            </w:r>
          </w:p>
        </w:tc>
        <w:tc>
          <w:tcPr>
            <w:tcW w:w="592" w:type="pct"/>
            <w:noWrap/>
          </w:tcPr>
          <w:p w14:paraId="3CCE6731" w14:textId="6872AF34" w:rsidR="00ED02AC" w:rsidRPr="008C0D55" w:rsidRDefault="00753A4D" w:rsidP="00713B38">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1.6</w:t>
            </w:r>
          </w:p>
        </w:tc>
      </w:tr>
      <w:tr w:rsidR="008C0D55" w:rsidRPr="008C0D55" w14:paraId="0047A64C" w14:textId="77777777" w:rsidTr="00DC4BDC">
        <w:trPr>
          <w:trHeight w:val="320"/>
        </w:trPr>
        <w:tc>
          <w:tcPr>
            <w:tcW w:w="2507" w:type="pct"/>
            <w:noWrap/>
          </w:tcPr>
          <w:p w14:paraId="20C219F6" w14:textId="0CDCF4E8"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Shunt</w:t>
            </w:r>
            <w:r w:rsidR="00364E88" w:rsidRPr="008C0D55">
              <w:rPr>
                <w:rFonts w:ascii="Arial" w:eastAsia="Times New Roman" w:hAnsi="Arial" w:cs="Arial"/>
                <w:sz w:val="20"/>
                <w:szCs w:val="20"/>
                <w:lang w:eastAsia="en-GB"/>
              </w:rPr>
              <w:t xml:space="preserve"> lung</w:t>
            </w:r>
            <w:r w:rsidRPr="008C0D55">
              <w:rPr>
                <w:rFonts w:ascii="Arial" w:eastAsia="Times New Roman" w:hAnsi="Arial" w:cs="Arial"/>
                <w:sz w:val="20"/>
                <w:szCs w:val="20"/>
                <w:lang w:eastAsia="en-GB"/>
              </w:rPr>
              <w:t xml:space="preserve"> </w:t>
            </w:r>
            <w:r w:rsidR="00364E88" w:rsidRPr="008C0D55">
              <w:rPr>
                <w:rFonts w:ascii="Arial" w:eastAsia="Times New Roman" w:hAnsi="Arial" w:cs="Arial"/>
                <w:sz w:val="20"/>
                <w:szCs w:val="20"/>
                <w:lang w:eastAsia="en-GB"/>
              </w:rPr>
              <w:t xml:space="preserve">tissue </w:t>
            </w:r>
            <w:r w:rsidRPr="008C0D55">
              <w:rPr>
                <w:rFonts w:ascii="Arial" w:eastAsia="Times New Roman" w:hAnsi="Arial" w:cs="Arial"/>
                <w:sz w:val="20"/>
                <w:szCs w:val="20"/>
                <w:lang w:eastAsia="en-GB"/>
              </w:rPr>
              <w:t>(%)</w:t>
            </w:r>
          </w:p>
        </w:tc>
        <w:tc>
          <w:tcPr>
            <w:tcW w:w="1357" w:type="pct"/>
            <w:noWrap/>
          </w:tcPr>
          <w:p w14:paraId="516AC862" w14:textId="04EDC1A8"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-2.9 (-5.1 – -0.7)</w:t>
            </w:r>
          </w:p>
        </w:tc>
        <w:tc>
          <w:tcPr>
            <w:tcW w:w="544" w:type="pct"/>
            <w:noWrap/>
          </w:tcPr>
          <w:p w14:paraId="08964586" w14:textId="302B0168"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0.028*</w:t>
            </w:r>
          </w:p>
        </w:tc>
        <w:tc>
          <w:tcPr>
            <w:tcW w:w="592" w:type="pct"/>
            <w:noWrap/>
          </w:tcPr>
          <w:p w14:paraId="07F5EB11" w14:textId="7CE1AF2C"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2.8</w:t>
            </w:r>
          </w:p>
        </w:tc>
      </w:tr>
      <w:tr w:rsidR="008C0D55" w:rsidRPr="008C0D55" w14:paraId="021988A1" w14:textId="77777777" w:rsidTr="00DC4BDC">
        <w:trPr>
          <w:trHeight w:val="320"/>
        </w:trPr>
        <w:tc>
          <w:tcPr>
            <w:tcW w:w="2507" w:type="pct"/>
            <w:noWrap/>
          </w:tcPr>
          <w:p w14:paraId="02424CD2" w14:textId="3E596087"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 xml:space="preserve">Lung </w:t>
            </w:r>
            <w:r w:rsidR="00364E88" w:rsidRPr="008C0D55">
              <w:rPr>
                <w:rFonts w:ascii="Arial" w:eastAsia="Times New Roman" w:hAnsi="Arial" w:cs="Arial"/>
                <w:sz w:val="20"/>
                <w:szCs w:val="20"/>
                <w:lang w:eastAsia="en-GB"/>
              </w:rPr>
              <w:t>tissue</w:t>
            </w:r>
            <w:r w:rsidRPr="008C0D55">
              <w:rPr>
                <w:rFonts w:ascii="Arial" w:eastAsia="Times New Roman" w:hAnsi="Arial" w:cs="Arial"/>
                <w:sz w:val="20"/>
                <w:szCs w:val="20"/>
                <w:lang w:eastAsia="en-GB"/>
              </w:rPr>
              <w:t xml:space="preserve"> with gas</w:t>
            </w:r>
            <w:r w:rsidR="00900A33" w:rsidRPr="008C0D55">
              <w:rPr>
                <w:rFonts w:ascii="Arial" w:eastAsia="Times New Roman" w:hAnsi="Arial" w:cs="Arial"/>
                <w:sz w:val="20"/>
                <w:szCs w:val="20"/>
                <w:lang w:eastAsia="en-GB"/>
              </w:rPr>
              <w:t>:blood volume rat</w:t>
            </w:r>
            <w:r w:rsidRPr="008C0D55">
              <w:rPr>
                <w:rFonts w:ascii="Arial" w:eastAsia="Times New Roman" w:hAnsi="Arial" w:cs="Arial"/>
                <w:sz w:val="20"/>
                <w:szCs w:val="20"/>
                <w:lang w:eastAsia="en-GB"/>
              </w:rPr>
              <w:t>io &lt; 1 (%)</w:t>
            </w:r>
          </w:p>
        </w:tc>
        <w:tc>
          <w:tcPr>
            <w:tcW w:w="1357" w:type="pct"/>
            <w:noWrap/>
          </w:tcPr>
          <w:p w14:paraId="4489C105" w14:textId="12B809C3"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-0.8 (-4.1 – 2.6)</w:t>
            </w:r>
          </w:p>
        </w:tc>
        <w:tc>
          <w:tcPr>
            <w:tcW w:w="544" w:type="pct"/>
            <w:noWrap/>
          </w:tcPr>
          <w:p w14:paraId="73BEC784" w14:textId="395B32F7"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0.648</w:t>
            </w:r>
          </w:p>
        </w:tc>
        <w:tc>
          <w:tcPr>
            <w:tcW w:w="592" w:type="pct"/>
            <w:noWrap/>
          </w:tcPr>
          <w:p w14:paraId="78F8F69B" w14:textId="7ABEFF40"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4.5</w:t>
            </w:r>
          </w:p>
        </w:tc>
      </w:tr>
      <w:tr w:rsidR="008C0D55" w:rsidRPr="008C0D55" w14:paraId="08E76C71" w14:textId="77777777" w:rsidTr="00DC4BDC">
        <w:trPr>
          <w:trHeight w:val="320"/>
        </w:trPr>
        <w:tc>
          <w:tcPr>
            <w:tcW w:w="2507" w:type="pct"/>
            <w:noWrap/>
          </w:tcPr>
          <w:p w14:paraId="577AC5FE" w14:textId="50D732BA"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 xml:space="preserve">Dead space lung </w:t>
            </w:r>
            <w:r w:rsidR="00364E88" w:rsidRPr="008C0D55">
              <w:rPr>
                <w:rFonts w:ascii="Arial" w:eastAsia="Times New Roman" w:hAnsi="Arial" w:cs="Arial"/>
                <w:sz w:val="20"/>
                <w:szCs w:val="20"/>
                <w:lang w:eastAsia="en-GB"/>
              </w:rPr>
              <w:t>tissue</w:t>
            </w:r>
            <w:r w:rsidRPr="008C0D55">
              <w:rPr>
                <w:rFonts w:ascii="Arial" w:eastAsia="Times New Roman" w:hAnsi="Arial" w:cs="Arial"/>
                <w:sz w:val="20"/>
                <w:szCs w:val="20"/>
                <w:lang w:eastAsia="en-GB"/>
              </w:rPr>
              <w:t xml:space="preserve"> (%)</w:t>
            </w:r>
          </w:p>
        </w:tc>
        <w:tc>
          <w:tcPr>
            <w:tcW w:w="1357" w:type="pct"/>
            <w:noWrap/>
          </w:tcPr>
          <w:p w14:paraId="1C0A8D53" w14:textId="6DCE5EB7"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-1.8 (-5.5 – 1.9)</w:t>
            </w:r>
          </w:p>
        </w:tc>
        <w:tc>
          <w:tcPr>
            <w:tcW w:w="544" w:type="pct"/>
            <w:noWrap/>
          </w:tcPr>
          <w:p w14:paraId="5BDC59C8" w14:textId="21148AD1"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0.324</w:t>
            </w:r>
          </w:p>
        </w:tc>
        <w:tc>
          <w:tcPr>
            <w:tcW w:w="592" w:type="pct"/>
            <w:noWrap/>
          </w:tcPr>
          <w:p w14:paraId="2F6D2313" w14:textId="2C1E42FA"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1.5</w:t>
            </w:r>
          </w:p>
        </w:tc>
      </w:tr>
      <w:tr w:rsidR="00DC4BDC" w:rsidRPr="008C0D55" w14:paraId="20788791" w14:textId="77777777" w:rsidTr="00DC4BDC">
        <w:trPr>
          <w:trHeight w:val="320"/>
        </w:trPr>
        <w:tc>
          <w:tcPr>
            <w:tcW w:w="2507" w:type="pct"/>
            <w:noWrap/>
          </w:tcPr>
          <w:p w14:paraId="58C5CA89" w14:textId="24CEA009"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 xml:space="preserve">Non-aerated/non-perfused lung </w:t>
            </w:r>
            <w:r w:rsidR="00364E88" w:rsidRPr="008C0D55">
              <w:rPr>
                <w:rFonts w:ascii="Arial" w:eastAsia="Times New Roman" w:hAnsi="Arial" w:cs="Arial"/>
                <w:sz w:val="20"/>
                <w:szCs w:val="20"/>
                <w:lang w:eastAsia="en-GB"/>
              </w:rPr>
              <w:t>tissue</w:t>
            </w:r>
            <w:r w:rsidRPr="008C0D55">
              <w:rPr>
                <w:rFonts w:ascii="Arial" w:eastAsia="Times New Roman" w:hAnsi="Arial" w:cs="Arial"/>
                <w:sz w:val="20"/>
                <w:szCs w:val="20"/>
                <w:lang w:eastAsia="en-GB"/>
              </w:rPr>
              <w:t xml:space="preserve"> (%)</w:t>
            </w:r>
          </w:p>
        </w:tc>
        <w:tc>
          <w:tcPr>
            <w:tcW w:w="1357" w:type="pct"/>
            <w:noWrap/>
          </w:tcPr>
          <w:p w14:paraId="36F7C15D" w14:textId="66BBFC06"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-2.9 (-7.6 – 1.7)</w:t>
            </w:r>
          </w:p>
        </w:tc>
        <w:tc>
          <w:tcPr>
            <w:tcW w:w="544" w:type="pct"/>
            <w:noWrap/>
          </w:tcPr>
          <w:p w14:paraId="59C1CD39" w14:textId="54C051A3"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0.209</w:t>
            </w:r>
          </w:p>
        </w:tc>
        <w:tc>
          <w:tcPr>
            <w:tcW w:w="592" w:type="pct"/>
            <w:noWrap/>
          </w:tcPr>
          <w:p w14:paraId="7AEAE5A3" w14:textId="7108C3C9" w:rsidR="00D12891" w:rsidRPr="008C0D55" w:rsidRDefault="00D12891" w:rsidP="00D12891">
            <w:pPr>
              <w:ind w:firstLine="0"/>
              <w:jc w:val="left"/>
              <w:rPr>
                <w:rFonts w:ascii="Arial" w:eastAsia="Times New Roman" w:hAnsi="Arial" w:cs="Arial"/>
                <w:sz w:val="20"/>
                <w:szCs w:val="20"/>
                <w:lang w:eastAsia="en-GB"/>
              </w:rPr>
            </w:pPr>
            <w:r w:rsidRPr="008C0D55">
              <w:rPr>
                <w:rFonts w:ascii="Arial" w:eastAsia="Times New Roman" w:hAnsi="Arial" w:cs="Arial"/>
                <w:sz w:val="20"/>
                <w:szCs w:val="20"/>
                <w:lang w:eastAsia="en-GB"/>
              </w:rPr>
              <w:t>2.8</w:t>
            </w:r>
          </w:p>
        </w:tc>
      </w:tr>
    </w:tbl>
    <w:p w14:paraId="049B97EB" w14:textId="601FC7A5" w:rsidR="00AA585C" w:rsidRPr="008C0D55" w:rsidRDefault="00AA585C" w:rsidP="00AA585C">
      <w:pPr>
        <w:spacing w:after="0"/>
        <w:ind w:firstLine="0"/>
        <w:jc w:val="left"/>
        <w:rPr>
          <w:rFonts w:ascii="Arial" w:hAnsi="Arial" w:cs="Arial"/>
          <w:b/>
          <w:bCs/>
          <w:szCs w:val="24"/>
        </w:rPr>
      </w:pPr>
    </w:p>
    <w:p w14:paraId="3E3AE467" w14:textId="4D8C17ED" w:rsidR="00AA585C" w:rsidRPr="008C0D55" w:rsidRDefault="00AA585C" w:rsidP="00ED02AC">
      <w:pPr>
        <w:spacing w:after="0"/>
        <w:ind w:firstLine="0"/>
        <w:rPr>
          <w:rFonts w:ascii="Arial" w:hAnsi="Arial" w:cs="Arial"/>
          <w:b/>
          <w:bCs/>
          <w:szCs w:val="24"/>
        </w:rPr>
      </w:pPr>
      <w:r w:rsidRPr="008C0D55">
        <w:rPr>
          <w:rFonts w:ascii="Arial" w:hAnsi="Arial" w:cs="Arial"/>
          <w:b/>
          <w:bCs/>
          <w:sz w:val="20"/>
          <w:szCs w:val="20"/>
        </w:rPr>
        <w:t xml:space="preserve">eTable </w:t>
      </w:r>
      <w:r w:rsidR="00DC4BDC" w:rsidRPr="008C0D55">
        <w:rPr>
          <w:rFonts w:ascii="Arial" w:hAnsi="Arial" w:cs="Arial"/>
          <w:b/>
          <w:bCs/>
          <w:sz w:val="20"/>
          <w:szCs w:val="20"/>
        </w:rPr>
        <w:t>1</w:t>
      </w:r>
      <w:r w:rsidRPr="008C0D55">
        <w:rPr>
          <w:rFonts w:ascii="Arial" w:hAnsi="Arial" w:cs="Arial"/>
          <w:b/>
          <w:bCs/>
          <w:sz w:val="20"/>
          <w:szCs w:val="20"/>
        </w:rPr>
        <w:t xml:space="preserve">: </w:t>
      </w:r>
      <w:r w:rsidR="00A558D5" w:rsidRPr="008C0D55">
        <w:rPr>
          <w:rFonts w:ascii="Arial" w:hAnsi="Arial" w:cs="Arial"/>
          <w:sz w:val="20"/>
          <w:szCs w:val="20"/>
        </w:rPr>
        <w:t>Linear regression of the PaO</w:t>
      </w:r>
      <w:r w:rsidR="00A558D5" w:rsidRPr="008C0D55">
        <w:rPr>
          <w:rFonts w:ascii="Arial" w:hAnsi="Arial" w:cs="Arial"/>
          <w:sz w:val="20"/>
          <w:szCs w:val="20"/>
          <w:vertAlign w:val="subscript"/>
        </w:rPr>
        <w:t>2</w:t>
      </w:r>
      <w:r w:rsidR="00A558D5" w:rsidRPr="008C0D55">
        <w:rPr>
          <w:rFonts w:ascii="Arial" w:hAnsi="Arial" w:cs="Arial"/>
          <w:sz w:val="20"/>
          <w:szCs w:val="20"/>
        </w:rPr>
        <w:t>/FiO</w:t>
      </w:r>
      <w:r w:rsidR="00A558D5" w:rsidRPr="008C0D55">
        <w:rPr>
          <w:rFonts w:ascii="Arial" w:hAnsi="Arial" w:cs="Arial"/>
          <w:sz w:val="20"/>
          <w:szCs w:val="20"/>
          <w:vertAlign w:val="subscript"/>
        </w:rPr>
        <w:t>2</w:t>
      </w:r>
      <w:r w:rsidR="00A558D5" w:rsidRPr="008C0D55">
        <w:rPr>
          <w:rFonts w:ascii="Arial" w:hAnsi="Arial" w:cs="Arial"/>
          <w:sz w:val="20"/>
          <w:szCs w:val="20"/>
        </w:rPr>
        <w:t xml:space="preserve"> ratio</w:t>
      </w:r>
      <w:r w:rsidR="00270693" w:rsidRPr="008C0D55">
        <w:rPr>
          <w:rFonts w:ascii="Arial" w:hAnsi="Arial" w:cs="Arial"/>
          <w:sz w:val="20"/>
          <w:szCs w:val="20"/>
        </w:rPr>
        <w:t xml:space="preserve"> in mmHg</w:t>
      </w:r>
      <w:r w:rsidR="00A558D5" w:rsidRPr="008C0D55">
        <w:rPr>
          <w:rFonts w:ascii="Arial" w:hAnsi="Arial" w:cs="Arial"/>
          <w:sz w:val="20"/>
          <w:szCs w:val="20"/>
        </w:rPr>
        <w:t xml:space="preserve"> as function of the </w:t>
      </w:r>
      <w:r w:rsidR="00ED02AC" w:rsidRPr="008C0D55">
        <w:rPr>
          <w:rFonts w:ascii="Arial" w:hAnsi="Arial" w:cs="Arial"/>
          <w:sz w:val="20"/>
          <w:szCs w:val="20"/>
        </w:rPr>
        <w:t xml:space="preserve">percent </w:t>
      </w:r>
      <w:r w:rsidR="00A558D5" w:rsidRPr="008C0D55">
        <w:rPr>
          <w:rFonts w:ascii="Arial" w:hAnsi="Arial" w:cs="Arial"/>
          <w:sz w:val="20"/>
          <w:szCs w:val="20"/>
        </w:rPr>
        <w:t xml:space="preserve">extension of different lung </w:t>
      </w:r>
      <w:r w:rsidR="0067390C" w:rsidRPr="008C0D55">
        <w:rPr>
          <w:rFonts w:ascii="Arial" w:hAnsi="Arial" w:cs="Arial"/>
          <w:sz w:val="20"/>
          <w:szCs w:val="20"/>
        </w:rPr>
        <w:t>gas:blood volume ratio</w:t>
      </w:r>
      <w:r w:rsidR="00A558D5" w:rsidRPr="008C0D55">
        <w:rPr>
          <w:rFonts w:ascii="Arial" w:hAnsi="Arial" w:cs="Arial"/>
          <w:sz w:val="20"/>
          <w:szCs w:val="20"/>
        </w:rPr>
        <w:t xml:space="preserve"> compartments. The variables are intrinsically inter-correlated because the compartments are mutually exclusive. However, this resulted in moderate multicollinearity as indicated by the variance inflation factor. Model residuals were normally distributed.</w:t>
      </w:r>
      <w:r w:rsidR="00ED02AC" w:rsidRPr="008C0D55">
        <w:rPr>
          <w:rFonts w:ascii="Arial" w:hAnsi="Arial" w:cs="Arial"/>
          <w:sz w:val="20"/>
          <w:szCs w:val="20"/>
        </w:rPr>
        <w:t xml:space="preserve"> Model statistics: Unadjusted R</w:t>
      </w:r>
      <w:r w:rsidR="00ED02AC" w:rsidRPr="008C0D55">
        <w:rPr>
          <w:rFonts w:ascii="Arial" w:hAnsi="Arial" w:cs="Arial"/>
          <w:sz w:val="20"/>
          <w:szCs w:val="20"/>
          <w:vertAlign w:val="superscript"/>
        </w:rPr>
        <w:t>2</w:t>
      </w:r>
      <w:r w:rsidR="00ED02AC" w:rsidRPr="008C0D55">
        <w:rPr>
          <w:rFonts w:ascii="Arial" w:hAnsi="Arial" w:cs="Arial"/>
          <w:sz w:val="20"/>
          <w:szCs w:val="20"/>
        </w:rPr>
        <w:t xml:space="preserve"> = 0.4</w:t>
      </w:r>
      <w:r w:rsidR="00A85117" w:rsidRPr="008C0D55">
        <w:rPr>
          <w:rFonts w:ascii="Arial" w:hAnsi="Arial" w:cs="Arial"/>
          <w:sz w:val="20"/>
          <w:szCs w:val="20"/>
        </w:rPr>
        <w:t>65</w:t>
      </w:r>
      <w:r w:rsidR="00ED02AC" w:rsidRPr="008C0D55">
        <w:rPr>
          <w:rFonts w:ascii="Arial" w:hAnsi="Arial" w:cs="Arial"/>
          <w:sz w:val="20"/>
          <w:szCs w:val="20"/>
        </w:rPr>
        <w:t>, Adjusted R</w:t>
      </w:r>
      <w:r w:rsidR="00ED02AC" w:rsidRPr="008C0D55">
        <w:rPr>
          <w:rFonts w:ascii="Arial" w:hAnsi="Arial" w:cs="Arial"/>
          <w:sz w:val="20"/>
          <w:szCs w:val="20"/>
          <w:vertAlign w:val="superscript"/>
        </w:rPr>
        <w:t>2</w:t>
      </w:r>
      <w:r w:rsidR="00ED02AC" w:rsidRPr="008C0D55">
        <w:rPr>
          <w:rFonts w:ascii="Arial" w:hAnsi="Arial" w:cs="Arial"/>
          <w:sz w:val="20"/>
          <w:szCs w:val="20"/>
        </w:rPr>
        <w:t xml:space="preserve"> = 0.3</w:t>
      </w:r>
      <w:r w:rsidR="00A85117" w:rsidRPr="008C0D55">
        <w:rPr>
          <w:rFonts w:ascii="Arial" w:hAnsi="Arial" w:cs="Arial"/>
          <w:sz w:val="20"/>
          <w:szCs w:val="20"/>
        </w:rPr>
        <w:t>72</w:t>
      </w:r>
      <w:r w:rsidR="00ED02AC" w:rsidRPr="008C0D55">
        <w:rPr>
          <w:rFonts w:ascii="Arial" w:hAnsi="Arial" w:cs="Arial"/>
          <w:sz w:val="20"/>
          <w:szCs w:val="20"/>
        </w:rPr>
        <w:t xml:space="preserve">, Corrected Akaike </w:t>
      </w:r>
      <w:r w:rsidR="00F4236B" w:rsidRPr="008C0D55">
        <w:rPr>
          <w:rFonts w:ascii="Arial" w:hAnsi="Arial" w:cs="Arial"/>
          <w:sz w:val="20"/>
          <w:szCs w:val="20"/>
        </w:rPr>
        <w:t>i</w:t>
      </w:r>
      <w:r w:rsidR="00ED02AC" w:rsidRPr="008C0D55">
        <w:rPr>
          <w:rFonts w:ascii="Arial" w:hAnsi="Arial" w:cs="Arial"/>
          <w:sz w:val="20"/>
          <w:szCs w:val="20"/>
        </w:rPr>
        <w:t xml:space="preserve">nformation </w:t>
      </w:r>
      <w:r w:rsidR="00F4236B" w:rsidRPr="008C0D55">
        <w:rPr>
          <w:rFonts w:ascii="Arial" w:hAnsi="Arial" w:cs="Arial"/>
          <w:sz w:val="20"/>
          <w:szCs w:val="20"/>
        </w:rPr>
        <w:t>c</w:t>
      </w:r>
      <w:r w:rsidR="00ED02AC" w:rsidRPr="008C0D55">
        <w:rPr>
          <w:rFonts w:ascii="Arial" w:hAnsi="Arial" w:cs="Arial"/>
          <w:sz w:val="20"/>
          <w:szCs w:val="20"/>
        </w:rPr>
        <w:t>riterion = 3</w:t>
      </w:r>
      <w:r w:rsidR="00A85117" w:rsidRPr="008C0D55">
        <w:rPr>
          <w:rFonts w:ascii="Arial" w:hAnsi="Arial" w:cs="Arial"/>
          <w:sz w:val="20"/>
          <w:szCs w:val="20"/>
        </w:rPr>
        <w:t>4</w:t>
      </w:r>
      <w:r w:rsidR="00ED02AC" w:rsidRPr="008C0D55">
        <w:rPr>
          <w:rFonts w:ascii="Arial" w:hAnsi="Arial" w:cs="Arial"/>
          <w:sz w:val="20"/>
          <w:szCs w:val="20"/>
        </w:rPr>
        <w:t>0, Durbin-Watson statistics = 2.1.</w:t>
      </w:r>
    </w:p>
    <w:p w14:paraId="31DC64B6" w14:textId="14F64BD5" w:rsidR="00F605ED" w:rsidRPr="008C0D55" w:rsidRDefault="00F605ED" w:rsidP="00361541">
      <w:pPr>
        <w:ind w:firstLine="0"/>
        <w:jc w:val="left"/>
        <w:rPr>
          <w:rFonts w:asciiTheme="majorHAnsi" w:hAnsiTheme="majorHAnsi" w:cstheme="majorHAnsi"/>
          <w:b/>
          <w:bCs/>
          <w:szCs w:val="24"/>
        </w:rPr>
      </w:pPr>
    </w:p>
    <w:p w14:paraId="02E9B409" w14:textId="77777777" w:rsidR="00312444" w:rsidRPr="008C0D55" w:rsidRDefault="00312444">
      <w:pPr>
        <w:jc w:val="left"/>
        <w:rPr>
          <w:rFonts w:asciiTheme="majorHAnsi" w:eastAsiaTheme="majorEastAsia" w:hAnsiTheme="majorHAnsi" w:cstheme="majorBidi"/>
          <w:b/>
          <w:bCs/>
          <w:iCs/>
          <w:caps/>
          <w:szCs w:val="32"/>
        </w:rPr>
      </w:pPr>
      <w:r w:rsidRPr="008C0D55">
        <w:br w:type="page"/>
      </w:r>
    </w:p>
    <w:p w14:paraId="410FE023" w14:textId="127EAF0D" w:rsidR="0087763C" w:rsidRPr="008C0D55" w:rsidRDefault="004A2704" w:rsidP="00BC5E79">
      <w:pPr>
        <w:pStyle w:val="Heading1"/>
      </w:pPr>
      <w:bookmarkStart w:id="9" w:name="_Toc70700762"/>
      <w:r w:rsidRPr="008C0D55">
        <w:t>REFERENCES</w:t>
      </w:r>
      <w:bookmarkEnd w:id="9"/>
    </w:p>
    <w:p w14:paraId="210E31EF" w14:textId="77777777" w:rsidR="0067390C" w:rsidRPr="008C0D55" w:rsidRDefault="0067390C" w:rsidP="0067390C"/>
    <w:p w14:paraId="6637006F" w14:textId="3C19FAAC" w:rsidR="00AE2C58" w:rsidRPr="008C0D55" w:rsidRDefault="00AE2C58" w:rsidP="00AE2C58">
      <w:pPr>
        <w:pStyle w:val="Bibliography"/>
        <w:rPr>
          <w:rFonts w:ascii="Arial" w:hAnsiTheme="majorHAnsi" w:cs="Arial"/>
        </w:rPr>
      </w:pPr>
      <w:r w:rsidRPr="008C0D55">
        <w:rPr>
          <w:rFonts w:ascii="Arial" w:hAnsiTheme="majorHAnsi" w:cs="Arial"/>
        </w:rPr>
        <w:t>1.</w:t>
      </w:r>
      <w:r w:rsidRPr="008C0D55">
        <w:rPr>
          <w:rFonts w:ascii="Arial" w:hAnsiTheme="majorHAnsi" w:cs="Arial"/>
        </w:rPr>
        <w:tab/>
        <w:t xml:space="preserve">Zhang L, Yan X, Fan Q, Liu H, Liu X, Liu Z, Zhang Z. D‐dimer levels on admission to predict in‐hospital mortality in patients with Covid‐19. </w:t>
      </w:r>
      <w:r w:rsidRPr="008C0D55">
        <w:rPr>
          <w:rFonts w:ascii="Arial" w:hAnsiTheme="majorHAnsi" w:cs="Arial"/>
          <w:i/>
          <w:iCs/>
        </w:rPr>
        <w:t>J Thromb Haemost</w:t>
      </w:r>
      <w:r w:rsidRPr="008C0D55">
        <w:rPr>
          <w:rFonts w:ascii="Arial" w:hAnsiTheme="majorHAnsi" w:cs="Arial"/>
        </w:rPr>
        <w:t xml:space="preserve"> 2020;jth.14859.doi:10.1111/jth.14859.</w:t>
      </w:r>
    </w:p>
    <w:p w14:paraId="6718860D" w14:textId="77777777" w:rsidR="00AE2C58" w:rsidRPr="008C0D55" w:rsidRDefault="00AE2C58" w:rsidP="00AE2C58">
      <w:pPr>
        <w:pStyle w:val="Bibliography"/>
        <w:rPr>
          <w:rFonts w:ascii="Arial" w:hAnsiTheme="majorHAnsi" w:cs="Arial"/>
        </w:rPr>
      </w:pPr>
      <w:r w:rsidRPr="008C0D55">
        <w:rPr>
          <w:rFonts w:ascii="Arial" w:hAnsiTheme="majorHAnsi" w:cs="Arial"/>
        </w:rPr>
        <w:t>2.</w:t>
      </w:r>
      <w:r w:rsidRPr="008C0D55">
        <w:rPr>
          <w:rFonts w:ascii="Arial" w:hAnsiTheme="majorHAnsi" w:cs="Arial"/>
        </w:rPr>
        <w:tab/>
        <w:t xml:space="preserve">Gerard SE, Herrmann J, Kaczka DW, Musch G, Fernandez-Bustamante A, Reinhardt JM. Multi-resolution convolutional neural networks for fully automated segmentation of acutely injured lungs in multiple species. </w:t>
      </w:r>
      <w:r w:rsidRPr="008C0D55">
        <w:rPr>
          <w:rFonts w:ascii="Arial" w:hAnsiTheme="majorHAnsi" w:cs="Arial"/>
          <w:i/>
          <w:iCs/>
        </w:rPr>
        <w:t>Med Image Anal</w:t>
      </w:r>
      <w:r w:rsidRPr="008C0D55">
        <w:rPr>
          <w:rFonts w:ascii="Arial" w:hAnsiTheme="majorHAnsi" w:cs="Arial"/>
        </w:rPr>
        <w:t xml:space="preserve"> 2020;60:101592.</w:t>
      </w:r>
    </w:p>
    <w:p w14:paraId="32DB97DC" w14:textId="77777777" w:rsidR="00AE2C58" w:rsidRPr="008C0D55" w:rsidRDefault="00AE2C58" w:rsidP="00AE2C58">
      <w:pPr>
        <w:pStyle w:val="Bibliography"/>
        <w:rPr>
          <w:rFonts w:ascii="Arial" w:hAnsiTheme="majorHAnsi" w:cs="Arial"/>
        </w:rPr>
      </w:pPr>
      <w:r w:rsidRPr="008C0D55">
        <w:rPr>
          <w:rFonts w:ascii="Arial" w:hAnsiTheme="majorHAnsi" w:cs="Arial"/>
        </w:rPr>
        <w:t>3.</w:t>
      </w:r>
      <w:r w:rsidRPr="008C0D55">
        <w:rPr>
          <w:rFonts w:ascii="Arial" w:hAnsiTheme="majorHAnsi" w:cs="Arial"/>
        </w:rPr>
        <w:tab/>
        <w:t xml:space="preserve">Liu X, Yu L, Primak AN, McCollough CH. Quantitative imaging of element composition and mass fraction using dual-energy CT: three-material decomposition. </w:t>
      </w:r>
      <w:r w:rsidRPr="008C0D55">
        <w:rPr>
          <w:rFonts w:ascii="Arial" w:hAnsiTheme="majorHAnsi" w:cs="Arial"/>
          <w:i/>
          <w:iCs/>
        </w:rPr>
        <w:t>Med Phys</w:t>
      </w:r>
      <w:r w:rsidRPr="008C0D55">
        <w:rPr>
          <w:rFonts w:ascii="Arial" w:hAnsiTheme="majorHAnsi" w:cs="Arial"/>
        </w:rPr>
        <w:t xml:space="preserve"> 2009;36:1602–1609.</w:t>
      </w:r>
    </w:p>
    <w:p w14:paraId="2D5DA56B" w14:textId="77777777" w:rsidR="00AE2C58" w:rsidRPr="008C0D55" w:rsidRDefault="00AE2C58" w:rsidP="00AE2C58">
      <w:pPr>
        <w:pStyle w:val="Bibliography"/>
        <w:rPr>
          <w:rFonts w:ascii="Arial" w:hAnsiTheme="majorHAnsi" w:cs="Arial"/>
        </w:rPr>
      </w:pPr>
      <w:r w:rsidRPr="008C0D55">
        <w:rPr>
          <w:rFonts w:ascii="Arial" w:hAnsiTheme="majorHAnsi" w:cs="Arial"/>
        </w:rPr>
        <w:t>4.</w:t>
      </w:r>
      <w:r w:rsidRPr="008C0D55">
        <w:rPr>
          <w:rFonts w:ascii="Arial" w:hAnsiTheme="majorHAnsi" w:cs="Arial"/>
        </w:rPr>
        <w:tab/>
        <w:t xml:space="preserve">Fuld MK, Halaweish AF, Haynes SE, Divekar AA, Guo J, Hoffman EA. Pulmonary perfused blood volume with dual-energy CT as surrogate for pulmonary perfusion assessed with dynamic multidetector CT. </w:t>
      </w:r>
      <w:r w:rsidRPr="008C0D55">
        <w:rPr>
          <w:rFonts w:ascii="Arial" w:hAnsiTheme="majorHAnsi" w:cs="Arial"/>
          <w:i/>
          <w:iCs/>
        </w:rPr>
        <w:t>Radiology</w:t>
      </w:r>
      <w:r w:rsidRPr="008C0D55">
        <w:rPr>
          <w:rFonts w:ascii="Arial" w:hAnsiTheme="majorHAnsi" w:cs="Arial"/>
        </w:rPr>
        <w:t xml:space="preserve"> 2013;267:747–756.</w:t>
      </w:r>
    </w:p>
    <w:p w14:paraId="7C9FD32F" w14:textId="77777777" w:rsidR="00AE2C58" w:rsidRPr="008C0D55" w:rsidRDefault="00AE2C58" w:rsidP="00AE2C58">
      <w:pPr>
        <w:pStyle w:val="Bibliography"/>
        <w:rPr>
          <w:rFonts w:ascii="Arial" w:hAnsiTheme="majorHAnsi" w:cs="Arial"/>
        </w:rPr>
      </w:pPr>
      <w:r w:rsidRPr="008C0D55">
        <w:rPr>
          <w:rFonts w:ascii="Arial" w:hAnsiTheme="majorHAnsi" w:cs="Arial"/>
        </w:rPr>
        <w:t>5.</w:t>
      </w:r>
      <w:r w:rsidRPr="008C0D55">
        <w:rPr>
          <w:rFonts w:ascii="Arial" w:hAnsiTheme="majorHAnsi" w:cs="Arial"/>
        </w:rPr>
        <w:tab/>
        <w:t xml:space="preserve">Protti A, Iapichino GE, Milesi M, Melis V, Pugni P, Comini B, Cressoni M, Gattinoni L. Validation of computed tomography for measuring lung weight. </w:t>
      </w:r>
      <w:r w:rsidRPr="008C0D55">
        <w:rPr>
          <w:rFonts w:ascii="Arial" w:hAnsiTheme="majorHAnsi" w:cs="Arial"/>
          <w:i/>
          <w:iCs/>
        </w:rPr>
        <w:t>Intensive Care Med Exp</w:t>
      </w:r>
      <w:r w:rsidRPr="008C0D55">
        <w:rPr>
          <w:rFonts w:ascii="Arial" w:hAnsiTheme="majorHAnsi" w:cs="Arial"/>
        </w:rPr>
        <w:t xml:space="preserve"> 2014;2:31.</w:t>
      </w:r>
    </w:p>
    <w:p w14:paraId="1A759FB2" w14:textId="77777777" w:rsidR="00AE2C58" w:rsidRPr="008C0D55" w:rsidRDefault="00AE2C58" w:rsidP="00AE2C58">
      <w:pPr>
        <w:pStyle w:val="Bibliography"/>
        <w:rPr>
          <w:rFonts w:ascii="Arial" w:hAnsiTheme="majorHAnsi" w:cs="Arial"/>
        </w:rPr>
      </w:pPr>
      <w:r w:rsidRPr="008C0D55">
        <w:rPr>
          <w:rFonts w:ascii="Arial" w:hAnsiTheme="majorHAnsi" w:cs="Arial"/>
        </w:rPr>
        <w:t>6.</w:t>
      </w:r>
      <w:r w:rsidRPr="008C0D55">
        <w:rPr>
          <w:rFonts w:ascii="Arial" w:hAnsiTheme="majorHAnsi" w:cs="Arial"/>
        </w:rPr>
        <w:tab/>
        <w:t xml:space="preserve">Ball L, Brusasco C, Corradi F, Paparo F, Garlaschi A, Herrmann P, Quintel M, Pelosi P. Lung hyperaeration assessment by computed tomography: correction of reconstruction-induced bias. </w:t>
      </w:r>
      <w:r w:rsidRPr="008C0D55">
        <w:rPr>
          <w:rFonts w:ascii="Arial" w:hAnsiTheme="majorHAnsi" w:cs="Arial"/>
          <w:i/>
          <w:iCs/>
        </w:rPr>
        <w:t>BMC Anesthesiol</w:t>
      </w:r>
      <w:r w:rsidRPr="008C0D55">
        <w:rPr>
          <w:rFonts w:ascii="Arial" w:hAnsiTheme="majorHAnsi" w:cs="Arial"/>
        </w:rPr>
        <w:t xml:space="preserve"> 2016;16:67.</w:t>
      </w:r>
    </w:p>
    <w:p w14:paraId="2397D8C7" w14:textId="2EACF404" w:rsidR="004A2704" w:rsidRPr="008C0D55" w:rsidRDefault="004A2704" w:rsidP="00275749">
      <w:pPr>
        <w:ind w:firstLine="0"/>
        <w:rPr>
          <w:rFonts w:asciiTheme="majorHAnsi" w:hAnsiTheme="majorHAnsi" w:cstheme="majorHAnsi"/>
          <w:szCs w:val="24"/>
        </w:rPr>
      </w:pPr>
    </w:p>
    <w:sectPr w:rsidR="004A2704" w:rsidRPr="008C0D55" w:rsidSect="00274308">
      <w:pgSz w:w="11900" w:h="16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DC3FA" w14:textId="77777777" w:rsidR="00D87644" w:rsidRDefault="00D87644" w:rsidP="00CD3379">
      <w:pPr>
        <w:spacing w:after="0" w:line="240" w:lineRule="auto"/>
      </w:pPr>
      <w:r>
        <w:separator/>
      </w:r>
    </w:p>
  </w:endnote>
  <w:endnote w:type="continuationSeparator" w:id="0">
    <w:p w14:paraId="2FF31403" w14:textId="77777777" w:rsidR="00D87644" w:rsidRDefault="00D87644" w:rsidP="00CD3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
    <w:charset w:val="00"/>
    <w:family w:val="swiss"/>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Times New Roman (Headings CS)">
    <w:altName w:val="Times New Roman"/>
    <w:charset w:val="00"/>
    <w:family w:val="roman"/>
    <w:pitch w:val="variable"/>
    <w:sig w:usb0="E0002AE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7B040" w14:textId="77777777" w:rsidR="00D87644" w:rsidRDefault="00D87644" w:rsidP="00CD3379">
      <w:pPr>
        <w:spacing w:after="0" w:line="240" w:lineRule="auto"/>
      </w:pPr>
      <w:r>
        <w:separator/>
      </w:r>
    </w:p>
  </w:footnote>
  <w:footnote w:type="continuationSeparator" w:id="0">
    <w:p w14:paraId="7BEE57B7" w14:textId="77777777" w:rsidR="00D87644" w:rsidRDefault="00D87644" w:rsidP="00CD3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62A43" w14:textId="77777777" w:rsidR="00DC4BDC" w:rsidRDefault="00DC4BDC" w:rsidP="00952FB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4019BD" w14:textId="77777777" w:rsidR="00DC4BDC" w:rsidRDefault="00DC4BDC" w:rsidP="00CD337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BD325" w14:textId="77777777" w:rsidR="00DC4BDC" w:rsidRPr="00EA17E0" w:rsidRDefault="00DC4BDC" w:rsidP="00952FBD">
    <w:pPr>
      <w:pStyle w:val="Header"/>
      <w:framePr w:wrap="none" w:vAnchor="text" w:hAnchor="margin" w:xAlign="right" w:y="1"/>
      <w:rPr>
        <w:rStyle w:val="PageNumber"/>
        <w:sz w:val="22"/>
        <w:szCs w:val="20"/>
      </w:rPr>
    </w:pPr>
    <w:r w:rsidRPr="00EA17E0">
      <w:rPr>
        <w:rStyle w:val="PageNumber"/>
        <w:sz w:val="22"/>
        <w:szCs w:val="20"/>
      </w:rPr>
      <w:fldChar w:fldCharType="begin"/>
    </w:r>
    <w:r w:rsidRPr="00EA17E0">
      <w:rPr>
        <w:rStyle w:val="PageNumber"/>
        <w:sz w:val="22"/>
        <w:szCs w:val="20"/>
      </w:rPr>
      <w:instrText xml:space="preserve">PAGE  </w:instrText>
    </w:r>
    <w:r w:rsidRPr="00EA17E0">
      <w:rPr>
        <w:rStyle w:val="PageNumber"/>
        <w:sz w:val="22"/>
        <w:szCs w:val="20"/>
      </w:rPr>
      <w:fldChar w:fldCharType="separate"/>
    </w:r>
    <w:r w:rsidR="008C0D55">
      <w:rPr>
        <w:rStyle w:val="PageNumber"/>
        <w:noProof/>
        <w:sz w:val="22"/>
        <w:szCs w:val="20"/>
      </w:rPr>
      <w:t>2</w:t>
    </w:r>
    <w:r w:rsidRPr="00EA17E0">
      <w:rPr>
        <w:rStyle w:val="PageNumber"/>
        <w:sz w:val="22"/>
        <w:szCs w:val="20"/>
      </w:rPr>
      <w:fldChar w:fldCharType="end"/>
    </w:r>
  </w:p>
  <w:p w14:paraId="2EAFE8D7" w14:textId="77777777" w:rsidR="00DC4BDC" w:rsidRDefault="00DC4BDC" w:rsidP="00CD337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3F6281"/>
    <w:multiLevelType w:val="hybridMultilevel"/>
    <w:tmpl w:val="66845F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pt-BR" w:vendorID="64" w:dllVersion="0" w:nlCheck="1" w:checkStyle="0"/>
  <w:activeWritingStyle w:appName="MSWord" w:lang="pt-BR" w:vendorID="64" w:dllVersion="4096" w:nlCheck="1" w:checkStyle="0"/>
  <w:activeWritingStyle w:appName="MSWord" w:lang="en-US" w:vendorID="64" w:dllVersion="131078" w:nlCheck="1" w:checkStyle="1"/>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21C"/>
    <w:rsid w:val="00001070"/>
    <w:rsid w:val="000018DD"/>
    <w:rsid w:val="0000226F"/>
    <w:rsid w:val="00004628"/>
    <w:rsid w:val="00005CBB"/>
    <w:rsid w:val="0001251E"/>
    <w:rsid w:val="0001255C"/>
    <w:rsid w:val="000125DA"/>
    <w:rsid w:val="000128E0"/>
    <w:rsid w:val="00021423"/>
    <w:rsid w:val="00021950"/>
    <w:rsid w:val="00021A05"/>
    <w:rsid w:val="00021AD4"/>
    <w:rsid w:val="00022818"/>
    <w:rsid w:val="00022B93"/>
    <w:rsid w:val="00024AAF"/>
    <w:rsid w:val="000301C6"/>
    <w:rsid w:val="00031FCE"/>
    <w:rsid w:val="000323AE"/>
    <w:rsid w:val="000327D2"/>
    <w:rsid w:val="00032EF9"/>
    <w:rsid w:val="00033221"/>
    <w:rsid w:val="000339FE"/>
    <w:rsid w:val="000362BD"/>
    <w:rsid w:val="00036316"/>
    <w:rsid w:val="00037FBF"/>
    <w:rsid w:val="00040361"/>
    <w:rsid w:val="000412D8"/>
    <w:rsid w:val="000425FD"/>
    <w:rsid w:val="00045AB0"/>
    <w:rsid w:val="00050B1F"/>
    <w:rsid w:val="00050D6F"/>
    <w:rsid w:val="00052A17"/>
    <w:rsid w:val="000531D3"/>
    <w:rsid w:val="00053CED"/>
    <w:rsid w:val="00055A14"/>
    <w:rsid w:val="00055E1C"/>
    <w:rsid w:val="0005646D"/>
    <w:rsid w:val="00057E98"/>
    <w:rsid w:val="0006067E"/>
    <w:rsid w:val="000633F6"/>
    <w:rsid w:val="00063995"/>
    <w:rsid w:val="00063D48"/>
    <w:rsid w:val="00065F21"/>
    <w:rsid w:val="00071F70"/>
    <w:rsid w:val="000729D8"/>
    <w:rsid w:val="000741D7"/>
    <w:rsid w:val="00074B9E"/>
    <w:rsid w:val="000802CD"/>
    <w:rsid w:val="00080BFA"/>
    <w:rsid w:val="00080D23"/>
    <w:rsid w:val="00082A16"/>
    <w:rsid w:val="00084015"/>
    <w:rsid w:val="00084A29"/>
    <w:rsid w:val="00085404"/>
    <w:rsid w:val="000865EA"/>
    <w:rsid w:val="000873A0"/>
    <w:rsid w:val="00091F75"/>
    <w:rsid w:val="00094BA6"/>
    <w:rsid w:val="000950D2"/>
    <w:rsid w:val="000964D9"/>
    <w:rsid w:val="000971DF"/>
    <w:rsid w:val="000973A4"/>
    <w:rsid w:val="000A033A"/>
    <w:rsid w:val="000A0370"/>
    <w:rsid w:val="000A037B"/>
    <w:rsid w:val="000A0539"/>
    <w:rsid w:val="000A1BA3"/>
    <w:rsid w:val="000A25EF"/>
    <w:rsid w:val="000A7F50"/>
    <w:rsid w:val="000B15EB"/>
    <w:rsid w:val="000B6054"/>
    <w:rsid w:val="000B7D6C"/>
    <w:rsid w:val="000C136E"/>
    <w:rsid w:val="000C66F9"/>
    <w:rsid w:val="000C6CDB"/>
    <w:rsid w:val="000D4BCE"/>
    <w:rsid w:val="000D518C"/>
    <w:rsid w:val="000D75A3"/>
    <w:rsid w:val="000E153D"/>
    <w:rsid w:val="000E5959"/>
    <w:rsid w:val="000F7591"/>
    <w:rsid w:val="0010282D"/>
    <w:rsid w:val="00104699"/>
    <w:rsid w:val="00104D8D"/>
    <w:rsid w:val="00105B29"/>
    <w:rsid w:val="00110BD1"/>
    <w:rsid w:val="00111A6E"/>
    <w:rsid w:val="00112612"/>
    <w:rsid w:val="001154D7"/>
    <w:rsid w:val="001161CB"/>
    <w:rsid w:val="00117B11"/>
    <w:rsid w:val="00126F37"/>
    <w:rsid w:val="00130663"/>
    <w:rsid w:val="00130892"/>
    <w:rsid w:val="00131F07"/>
    <w:rsid w:val="00132952"/>
    <w:rsid w:val="00132F9E"/>
    <w:rsid w:val="00134EF6"/>
    <w:rsid w:val="001406CB"/>
    <w:rsid w:val="0014184A"/>
    <w:rsid w:val="00143292"/>
    <w:rsid w:val="00143761"/>
    <w:rsid w:val="00145626"/>
    <w:rsid w:val="00147A4D"/>
    <w:rsid w:val="00147AB8"/>
    <w:rsid w:val="00156F55"/>
    <w:rsid w:val="00157229"/>
    <w:rsid w:val="001623CD"/>
    <w:rsid w:val="00163308"/>
    <w:rsid w:val="00163433"/>
    <w:rsid w:val="001670AD"/>
    <w:rsid w:val="00171CA8"/>
    <w:rsid w:val="00171D58"/>
    <w:rsid w:val="00175811"/>
    <w:rsid w:val="00175A2B"/>
    <w:rsid w:val="001764C6"/>
    <w:rsid w:val="001801E3"/>
    <w:rsid w:val="00181677"/>
    <w:rsid w:val="00181FF6"/>
    <w:rsid w:val="001848A3"/>
    <w:rsid w:val="00185219"/>
    <w:rsid w:val="001857D9"/>
    <w:rsid w:val="001905CF"/>
    <w:rsid w:val="001905E9"/>
    <w:rsid w:val="00195003"/>
    <w:rsid w:val="00195478"/>
    <w:rsid w:val="001964C8"/>
    <w:rsid w:val="00197128"/>
    <w:rsid w:val="00197761"/>
    <w:rsid w:val="001979BB"/>
    <w:rsid w:val="001A0780"/>
    <w:rsid w:val="001A2F4C"/>
    <w:rsid w:val="001A3990"/>
    <w:rsid w:val="001A4D7C"/>
    <w:rsid w:val="001B025B"/>
    <w:rsid w:val="001B2C37"/>
    <w:rsid w:val="001B477D"/>
    <w:rsid w:val="001B4A7D"/>
    <w:rsid w:val="001B4BD6"/>
    <w:rsid w:val="001B6086"/>
    <w:rsid w:val="001C065F"/>
    <w:rsid w:val="001C0CC1"/>
    <w:rsid w:val="001C0E5D"/>
    <w:rsid w:val="001C1089"/>
    <w:rsid w:val="001C1D39"/>
    <w:rsid w:val="001C4270"/>
    <w:rsid w:val="001C7470"/>
    <w:rsid w:val="001D04B6"/>
    <w:rsid w:val="001D2A0C"/>
    <w:rsid w:val="001D604C"/>
    <w:rsid w:val="001D6F6F"/>
    <w:rsid w:val="001E0363"/>
    <w:rsid w:val="001E10D6"/>
    <w:rsid w:val="001E1C2E"/>
    <w:rsid w:val="001E2EE0"/>
    <w:rsid w:val="001E65B1"/>
    <w:rsid w:val="001F04B5"/>
    <w:rsid w:val="001F1C61"/>
    <w:rsid w:val="001F3481"/>
    <w:rsid w:val="001F3C94"/>
    <w:rsid w:val="001F3FE6"/>
    <w:rsid w:val="001F785B"/>
    <w:rsid w:val="00200BB2"/>
    <w:rsid w:val="00200EFE"/>
    <w:rsid w:val="00202998"/>
    <w:rsid w:val="002055EB"/>
    <w:rsid w:val="002100D9"/>
    <w:rsid w:val="0021106F"/>
    <w:rsid w:val="00211595"/>
    <w:rsid w:val="0021253D"/>
    <w:rsid w:val="00213212"/>
    <w:rsid w:val="00213F0B"/>
    <w:rsid w:val="00215293"/>
    <w:rsid w:val="002167C4"/>
    <w:rsid w:val="00216E48"/>
    <w:rsid w:val="00220675"/>
    <w:rsid w:val="00221317"/>
    <w:rsid w:val="00221482"/>
    <w:rsid w:val="00223EF5"/>
    <w:rsid w:val="00224254"/>
    <w:rsid w:val="00224BDF"/>
    <w:rsid w:val="00225484"/>
    <w:rsid w:val="00232440"/>
    <w:rsid w:val="0023327F"/>
    <w:rsid w:val="002349E9"/>
    <w:rsid w:val="0023685F"/>
    <w:rsid w:val="00250DEA"/>
    <w:rsid w:val="0025218C"/>
    <w:rsid w:val="0025499F"/>
    <w:rsid w:val="00254C21"/>
    <w:rsid w:val="0025638B"/>
    <w:rsid w:val="00257B31"/>
    <w:rsid w:val="00263BF3"/>
    <w:rsid w:val="00264AF6"/>
    <w:rsid w:val="00270693"/>
    <w:rsid w:val="0027161B"/>
    <w:rsid w:val="002719AB"/>
    <w:rsid w:val="002724DF"/>
    <w:rsid w:val="00274069"/>
    <w:rsid w:val="00274308"/>
    <w:rsid w:val="0027442C"/>
    <w:rsid w:val="00275749"/>
    <w:rsid w:val="00275885"/>
    <w:rsid w:val="002760B2"/>
    <w:rsid w:val="00277064"/>
    <w:rsid w:val="002771E2"/>
    <w:rsid w:val="002777E3"/>
    <w:rsid w:val="00277B38"/>
    <w:rsid w:val="00280685"/>
    <w:rsid w:val="00281A8A"/>
    <w:rsid w:val="00281C08"/>
    <w:rsid w:val="00282F04"/>
    <w:rsid w:val="00283162"/>
    <w:rsid w:val="00284BD4"/>
    <w:rsid w:val="00285943"/>
    <w:rsid w:val="002868E9"/>
    <w:rsid w:val="00286F94"/>
    <w:rsid w:val="002923FF"/>
    <w:rsid w:val="00292534"/>
    <w:rsid w:val="00293313"/>
    <w:rsid w:val="0029706E"/>
    <w:rsid w:val="002977EF"/>
    <w:rsid w:val="00297AA0"/>
    <w:rsid w:val="002A215E"/>
    <w:rsid w:val="002A3646"/>
    <w:rsid w:val="002A4F46"/>
    <w:rsid w:val="002A5DD9"/>
    <w:rsid w:val="002B0B89"/>
    <w:rsid w:val="002B13C2"/>
    <w:rsid w:val="002B2258"/>
    <w:rsid w:val="002B306E"/>
    <w:rsid w:val="002B3B48"/>
    <w:rsid w:val="002B6CA8"/>
    <w:rsid w:val="002C125C"/>
    <w:rsid w:val="002C46CD"/>
    <w:rsid w:val="002D4056"/>
    <w:rsid w:val="002D64B2"/>
    <w:rsid w:val="002E1483"/>
    <w:rsid w:val="002E41EB"/>
    <w:rsid w:val="002E5082"/>
    <w:rsid w:val="002F006D"/>
    <w:rsid w:val="002F0B2A"/>
    <w:rsid w:val="002F1535"/>
    <w:rsid w:val="002F223C"/>
    <w:rsid w:val="002F76C7"/>
    <w:rsid w:val="00300901"/>
    <w:rsid w:val="00303E5F"/>
    <w:rsid w:val="00306714"/>
    <w:rsid w:val="0031071D"/>
    <w:rsid w:val="00310F7B"/>
    <w:rsid w:val="00312444"/>
    <w:rsid w:val="003132A5"/>
    <w:rsid w:val="003148E9"/>
    <w:rsid w:val="00314D14"/>
    <w:rsid w:val="00314F1C"/>
    <w:rsid w:val="0032207A"/>
    <w:rsid w:val="00324562"/>
    <w:rsid w:val="00324903"/>
    <w:rsid w:val="00330105"/>
    <w:rsid w:val="00334395"/>
    <w:rsid w:val="0033445E"/>
    <w:rsid w:val="0033451A"/>
    <w:rsid w:val="0033509B"/>
    <w:rsid w:val="00337933"/>
    <w:rsid w:val="0034033C"/>
    <w:rsid w:val="003408EF"/>
    <w:rsid w:val="00340A05"/>
    <w:rsid w:val="00340DF8"/>
    <w:rsid w:val="00340E43"/>
    <w:rsid w:val="003427E9"/>
    <w:rsid w:val="00343336"/>
    <w:rsid w:val="00343457"/>
    <w:rsid w:val="00343A10"/>
    <w:rsid w:val="00343FF0"/>
    <w:rsid w:val="003461F9"/>
    <w:rsid w:val="003471DD"/>
    <w:rsid w:val="00350283"/>
    <w:rsid w:val="003507F7"/>
    <w:rsid w:val="0035226E"/>
    <w:rsid w:val="003568AE"/>
    <w:rsid w:val="00360A41"/>
    <w:rsid w:val="00361541"/>
    <w:rsid w:val="00361F4E"/>
    <w:rsid w:val="003621A2"/>
    <w:rsid w:val="00363891"/>
    <w:rsid w:val="00364DC2"/>
    <w:rsid w:val="00364E88"/>
    <w:rsid w:val="003670EE"/>
    <w:rsid w:val="003737E6"/>
    <w:rsid w:val="00374494"/>
    <w:rsid w:val="00381A2E"/>
    <w:rsid w:val="00381E9E"/>
    <w:rsid w:val="00382B66"/>
    <w:rsid w:val="00383341"/>
    <w:rsid w:val="00384880"/>
    <w:rsid w:val="0038580C"/>
    <w:rsid w:val="003874E9"/>
    <w:rsid w:val="0039041A"/>
    <w:rsid w:val="00392619"/>
    <w:rsid w:val="003934BE"/>
    <w:rsid w:val="00393DAB"/>
    <w:rsid w:val="003942CE"/>
    <w:rsid w:val="003A28FE"/>
    <w:rsid w:val="003A560A"/>
    <w:rsid w:val="003A595D"/>
    <w:rsid w:val="003A5A01"/>
    <w:rsid w:val="003A5EAD"/>
    <w:rsid w:val="003B0CF2"/>
    <w:rsid w:val="003B1F8E"/>
    <w:rsid w:val="003B42A3"/>
    <w:rsid w:val="003B5527"/>
    <w:rsid w:val="003B5D37"/>
    <w:rsid w:val="003B6299"/>
    <w:rsid w:val="003B62CA"/>
    <w:rsid w:val="003C1738"/>
    <w:rsid w:val="003C1BA1"/>
    <w:rsid w:val="003C6508"/>
    <w:rsid w:val="003C7750"/>
    <w:rsid w:val="003D51F2"/>
    <w:rsid w:val="003D5BED"/>
    <w:rsid w:val="003D72ED"/>
    <w:rsid w:val="003D7808"/>
    <w:rsid w:val="003D7CA4"/>
    <w:rsid w:val="003E02AE"/>
    <w:rsid w:val="003E39FF"/>
    <w:rsid w:val="003E489E"/>
    <w:rsid w:val="003E4F4D"/>
    <w:rsid w:val="003E5EFB"/>
    <w:rsid w:val="003E63C4"/>
    <w:rsid w:val="003E7390"/>
    <w:rsid w:val="003E7C24"/>
    <w:rsid w:val="003F084F"/>
    <w:rsid w:val="003F0F7B"/>
    <w:rsid w:val="003F23CE"/>
    <w:rsid w:val="003F30CA"/>
    <w:rsid w:val="003F519B"/>
    <w:rsid w:val="003F5C8E"/>
    <w:rsid w:val="003F605C"/>
    <w:rsid w:val="003F6E2B"/>
    <w:rsid w:val="003F750F"/>
    <w:rsid w:val="00401036"/>
    <w:rsid w:val="00402101"/>
    <w:rsid w:val="00403106"/>
    <w:rsid w:val="00406088"/>
    <w:rsid w:val="00407140"/>
    <w:rsid w:val="004101B4"/>
    <w:rsid w:val="00411215"/>
    <w:rsid w:val="00412CEF"/>
    <w:rsid w:val="00413C30"/>
    <w:rsid w:val="00415A2B"/>
    <w:rsid w:val="004174AA"/>
    <w:rsid w:val="00417EE7"/>
    <w:rsid w:val="004217F8"/>
    <w:rsid w:val="004246A0"/>
    <w:rsid w:val="00425432"/>
    <w:rsid w:val="00430C1B"/>
    <w:rsid w:val="00430FA7"/>
    <w:rsid w:val="00431771"/>
    <w:rsid w:val="004336C5"/>
    <w:rsid w:val="0043541D"/>
    <w:rsid w:val="0044293F"/>
    <w:rsid w:val="0044459B"/>
    <w:rsid w:val="004455E3"/>
    <w:rsid w:val="004457A9"/>
    <w:rsid w:val="004478E8"/>
    <w:rsid w:val="00447E50"/>
    <w:rsid w:val="00452481"/>
    <w:rsid w:val="004526FA"/>
    <w:rsid w:val="004550B0"/>
    <w:rsid w:val="00455F40"/>
    <w:rsid w:val="00456A29"/>
    <w:rsid w:val="00460805"/>
    <w:rsid w:val="00460F0D"/>
    <w:rsid w:val="004641FB"/>
    <w:rsid w:val="004700F7"/>
    <w:rsid w:val="00471DC3"/>
    <w:rsid w:val="00471DF6"/>
    <w:rsid w:val="004737F8"/>
    <w:rsid w:val="00475EA1"/>
    <w:rsid w:val="00477B40"/>
    <w:rsid w:val="00481D11"/>
    <w:rsid w:val="00482A0F"/>
    <w:rsid w:val="004831F4"/>
    <w:rsid w:val="004842E4"/>
    <w:rsid w:val="00485EFD"/>
    <w:rsid w:val="004921AC"/>
    <w:rsid w:val="004933C9"/>
    <w:rsid w:val="004936B7"/>
    <w:rsid w:val="00494E1F"/>
    <w:rsid w:val="004A0119"/>
    <w:rsid w:val="004A0796"/>
    <w:rsid w:val="004A0971"/>
    <w:rsid w:val="004A2704"/>
    <w:rsid w:val="004A4AF8"/>
    <w:rsid w:val="004A5C8D"/>
    <w:rsid w:val="004B288D"/>
    <w:rsid w:val="004B2B5A"/>
    <w:rsid w:val="004B2C54"/>
    <w:rsid w:val="004B309B"/>
    <w:rsid w:val="004B3C18"/>
    <w:rsid w:val="004B6EA1"/>
    <w:rsid w:val="004C00C4"/>
    <w:rsid w:val="004C03CC"/>
    <w:rsid w:val="004C1A1A"/>
    <w:rsid w:val="004C3178"/>
    <w:rsid w:val="004C400D"/>
    <w:rsid w:val="004C5073"/>
    <w:rsid w:val="004C538B"/>
    <w:rsid w:val="004D209F"/>
    <w:rsid w:val="004D2A18"/>
    <w:rsid w:val="004D3605"/>
    <w:rsid w:val="004D3673"/>
    <w:rsid w:val="004D54D6"/>
    <w:rsid w:val="004E0783"/>
    <w:rsid w:val="004E0E39"/>
    <w:rsid w:val="004E12BC"/>
    <w:rsid w:val="004E2176"/>
    <w:rsid w:val="004E4671"/>
    <w:rsid w:val="004E4C01"/>
    <w:rsid w:val="004E5F5E"/>
    <w:rsid w:val="004E66C2"/>
    <w:rsid w:val="004E7F9A"/>
    <w:rsid w:val="004F58D3"/>
    <w:rsid w:val="004F6753"/>
    <w:rsid w:val="004F6863"/>
    <w:rsid w:val="00502085"/>
    <w:rsid w:val="00504016"/>
    <w:rsid w:val="00505A76"/>
    <w:rsid w:val="00507BBA"/>
    <w:rsid w:val="00510172"/>
    <w:rsid w:val="00511672"/>
    <w:rsid w:val="00511EC3"/>
    <w:rsid w:val="00513D05"/>
    <w:rsid w:val="00513FC5"/>
    <w:rsid w:val="00522EB9"/>
    <w:rsid w:val="00523F66"/>
    <w:rsid w:val="00525223"/>
    <w:rsid w:val="0052561C"/>
    <w:rsid w:val="005259A3"/>
    <w:rsid w:val="005311B3"/>
    <w:rsid w:val="00531544"/>
    <w:rsid w:val="0053426F"/>
    <w:rsid w:val="0053458D"/>
    <w:rsid w:val="005348AF"/>
    <w:rsid w:val="005362A2"/>
    <w:rsid w:val="0053637E"/>
    <w:rsid w:val="005414F4"/>
    <w:rsid w:val="005417A2"/>
    <w:rsid w:val="00543019"/>
    <w:rsid w:val="0054523E"/>
    <w:rsid w:val="005464D0"/>
    <w:rsid w:val="00552D31"/>
    <w:rsid w:val="00553614"/>
    <w:rsid w:val="005536BC"/>
    <w:rsid w:val="00555635"/>
    <w:rsid w:val="00555FEC"/>
    <w:rsid w:val="00560928"/>
    <w:rsid w:val="0056122D"/>
    <w:rsid w:val="00562960"/>
    <w:rsid w:val="00565BB6"/>
    <w:rsid w:val="0056715D"/>
    <w:rsid w:val="00576434"/>
    <w:rsid w:val="00582A11"/>
    <w:rsid w:val="00587183"/>
    <w:rsid w:val="00591467"/>
    <w:rsid w:val="005949B6"/>
    <w:rsid w:val="00594E89"/>
    <w:rsid w:val="0059589E"/>
    <w:rsid w:val="00595A3F"/>
    <w:rsid w:val="005960EC"/>
    <w:rsid w:val="005A267F"/>
    <w:rsid w:val="005A2F0F"/>
    <w:rsid w:val="005A3BD1"/>
    <w:rsid w:val="005A4651"/>
    <w:rsid w:val="005A5A3B"/>
    <w:rsid w:val="005B023B"/>
    <w:rsid w:val="005B02C4"/>
    <w:rsid w:val="005B14B1"/>
    <w:rsid w:val="005B1556"/>
    <w:rsid w:val="005B2824"/>
    <w:rsid w:val="005B2A12"/>
    <w:rsid w:val="005B5B42"/>
    <w:rsid w:val="005B6028"/>
    <w:rsid w:val="005B780E"/>
    <w:rsid w:val="005C0DDC"/>
    <w:rsid w:val="005C479E"/>
    <w:rsid w:val="005C6FB3"/>
    <w:rsid w:val="005D0D07"/>
    <w:rsid w:val="005D13E1"/>
    <w:rsid w:val="005D1C66"/>
    <w:rsid w:val="005D5CD0"/>
    <w:rsid w:val="005D6041"/>
    <w:rsid w:val="005D6BA7"/>
    <w:rsid w:val="005D736C"/>
    <w:rsid w:val="005D7528"/>
    <w:rsid w:val="005E0A96"/>
    <w:rsid w:val="005E1F78"/>
    <w:rsid w:val="005E22B7"/>
    <w:rsid w:val="005E24FE"/>
    <w:rsid w:val="005E31CB"/>
    <w:rsid w:val="005E373C"/>
    <w:rsid w:val="005F03D5"/>
    <w:rsid w:val="005F45C4"/>
    <w:rsid w:val="005F51A2"/>
    <w:rsid w:val="005F6A27"/>
    <w:rsid w:val="005F6FB2"/>
    <w:rsid w:val="00600AB9"/>
    <w:rsid w:val="00601C14"/>
    <w:rsid w:val="00601CF6"/>
    <w:rsid w:val="00602297"/>
    <w:rsid w:val="006026F6"/>
    <w:rsid w:val="00603D71"/>
    <w:rsid w:val="00604E27"/>
    <w:rsid w:val="006052CC"/>
    <w:rsid w:val="00605844"/>
    <w:rsid w:val="00610457"/>
    <w:rsid w:val="00613703"/>
    <w:rsid w:val="006138E1"/>
    <w:rsid w:val="00616CCF"/>
    <w:rsid w:val="00616FCC"/>
    <w:rsid w:val="00617E0F"/>
    <w:rsid w:val="0062085A"/>
    <w:rsid w:val="0062119B"/>
    <w:rsid w:val="00621C5C"/>
    <w:rsid w:val="006251B5"/>
    <w:rsid w:val="006273A9"/>
    <w:rsid w:val="006300A3"/>
    <w:rsid w:val="00632DA8"/>
    <w:rsid w:val="0063375A"/>
    <w:rsid w:val="00634C53"/>
    <w:rsid w:val="006379DB"/>
    <w:rsid w:val="00641ED5"/>
    <w:rsid w:val="00642593"/>
    <w:rsid w:val="00643238"/>
    <w:rsid w:val="0064359E"/>
    <w:rsid w:val="00644961"/>
    <w:rsid w:val="006468D3"/>
    <w:rsid w:val="00651228"/>
    <w:rsid w:val="00651CCF"/>
    <w:rsid w:val="0065214D"/>
    <w:rsid w:val="00657835"/>
    <w:rsid w:val="00664555"/>
    <w:rsid w:val="00665087"/>
    <w:rsid w:val="0066778E"/>
    <w:rsid w:val="006678EF"/>
    <w:rsid w:val="00670117"/>
    <w:rsid w:val="00670F5C"/>
    <w:rsid w:val="00671453"/>
    <w:rsid w:val="0067390C"/>
    <w:rsid w:val="00674EBF"/>
    <w:rsid w:val="006761D0"/>
    <w:rsid w:val="00682612"/>
    <w:rsid w:val="00685EE1"/>
    <w:rsid w:val="00685FDD"/>
    <w:rsid w:val="006902A8"/>
    <w:rsid w:val="0069167B"/>
    <w:rsid w:val="0069174A"/>
    <w:rsid w:val="006947AE"/>
    <w:rsid w:val="006A2CFF"/>
    <w:rsid w:val="006A4600"/>
    <w:rsid w:val="006A59B7"/>
    <w:rsid w:val="006A70C0"/>
    <w:rsid w:val="006B10AC"/>
    <w:rsid w:val="006B1D83"/>
    <w:rsid w:val="006B31D1"/>
    <w:rsid w:val="006B491C"/>
    <w:rsid w:val="006B58E9"/>
    <w:rsid w:val="006B665B"/>
    <w:rsid w:val="006B7C16"/>
    <w:rsid w:val="006C0DA3"/>
    <w:rsid w:val="006C158D"/>
    <w:rsid w:val="006C6CEE"/>
    <w:rsid w:val="006C6F4C"/>
    <w:rsid w:val="006D5FA7"/>
    <w:rsid w:val="006D6314"/>
    <w:rsid w:val="006D68F8"/>
    <w:rsid w:val="006E015C"/>
    <w:rsid w:val="006E0B62"/>
    <w:rsid w:val="006E3105"/>
    <w:rsid w:val="006E3333"/>
    <w:rsid w:val="006E44CE"/>
    <w:rsid w:val="006E5223"/>
    <w:rsid w:val="006E62F0"/>
    <w:rsid w:val="006E64BF"/>
    <w:rsid w:val="006E7FDC"/>
    <w:rsid w:val="006F28EA"/>
    <w:rsid w:val="006F3D6C"/>
    <w:rsid w:val="0070282A"/>
    <w:rsid w:val="00702910"/>
    <w:rsid w:val="00702B33"/>
    <w:rsid w:val="00705CFD"/>
    <w:rsid w:val="00706310"/>
    <w:rsid w:val="00706538"/>
    <w:rsid w:val="007075BE"/>
    <w:rsid w:val="00707EC3"/>
    <w:rsid w:val="007117D3"/>
    <w:rsid w:val="0071300F"/>
    <w:rsid w:val="00713B38"/>
    <w:rsid w:val="00713BC4"/>
    <w:rsid w:val="00714294"/>
    <w:rsid w:val="007150B9"/>
    <w:rsid w:val="007155C0"/>
    <w:rsid w:val="007179B2"/>
    <w:rsid w:val="00720773"/>
    <w:rsid w:val="00721082"/>
    <w:rsid w:val="00721649"/>
    <w:rsid w:val="00721E45"/>
    <w:rsid w:val="00722D51"/>
    <w:rsid w:val="00726B0E"/>
    <w:rsid w:val="00731A09"/>
    <w:rsid w:val="0073583C"/>
    <w:rsid w:val="00737712"/>
    <w:rsid w:val="00737DFE"/>
    <w:rsid w:val="00737EF8"/>
    <w:rsid w:val="007400CC"/>
    <w:rsid w:val="007402D5"/>
    <w:rsid w:val="0074274E"/>
    <w:rsid w:val="00743AB4"/>
    <w:rsid w:val="00743F8C"/>
    <w:rsid w:val="007470A6"/>
    <w:rsid w:val="00747C45"/>
    <w:rsid w:val="00753A4D"/>
    <w:rsid w:val="0075604D"/>
    <w:rsid w:val="00756B39"/>
    <w:rsid w:val="007577C7"/>
    <w:rsid w:val="007642F5"/>
    <w:rsid w:val="00764C72"/>
    <w:rsid w:val="00765B01"/>
    <w:rsid w:val="00766605"/>
    <w:rsid w:val="007673F8"/>
    <w:rsid w:val="00767C18"/>
    <w:rsid w:val="00773A60"/>
    <w:rsid w:val="00774BBF"/>
    <w:rsid w:val="007759E0"/>
    <w:rsid w:val="00777663"/>
    <w:rsid w:val="007824BD"/>
    <w:rsid w:val="00783698"/>
    <w:rsid w:val="007867AD"/>
    <w:rsid w:val="00786ED4"/>
    <w:rsid w:val="00787E6A"/>
    <w:rsid w:val="0079305B"/>
    <w:rsid w:val="0079328C"/>
    <w:rsid w:val="007933D7"/>
    <w:rsid w:val="007938F7"/>
    <w:rsid w:val="00793BA8"/>
    <w:rsid w:val="00794F14"/>
    <w:rsid w:val="0079625B"/>
    <w:rsid w:val="007A211E"/>
    <w:rsid w:val="007A2CCC"/>
    <w:rsid w:val="007A4C0B"/>
    <w:rsid w:val="007A4F0A"/>
    <w:rsid w:val="007A54F8"/>
    <w:rsid w:val="007A60C7"/>
    <w:rsid w:val="007A7BD6"/>
    <w:rsid w:val="007B036C"/>
    <w:rsid w:val="007B2E00"/>
    <w:rsid w:val="007B3C7D"/>
    <w:rsid w:val="007B457F"/>
    <w:rsid w:val="007B4B8E"/>
    <w:rsid w:val="007B4C06"/>
    <w:rsid w:val="007B670C"/>
    <w:rsid w:val="007B6714"/>
    <w:rsid w:val="007C0930"/>
    <w:rsid w:val="007C4900"/>
    <w:rsid w:val="007C58D3"/>
    <w:rsid w:val="007C744B"/>
    <w:rsid w:val="007D0918"/>
    <w:rsid w:val="007D0CD8"/>
    <w:rsid w:val="007D257B"/>
    <w:rsid w:val="007D27B8"/>
    <w:rsid w:val="007D3F72"/>
    <w:rsid w:val="007D43F9"/>
    <w:rsid w:val="007D52F0"/>
    <w:rsid w:val="007D6695"/>
    <w:rsid w:val="007D6AE7"/>
    <w:rsid w:val="007D763A"/>
    <w:rsid w:val="007E00B1"/>
    <w:rsid w:val="007E1693"/>
    <w:rsid w:val="007E24F0"/>
    <w:rsid w:val="007E2E14"/>
    <w:rsid w:val="007E4955"/>
    <w:rsid w:val="007E4D2C"/>
    <w:rsid w:val="007E6016"/>
    <w:rsid w:val="007E74BB"/>
    <w:rsid w:val="007E768C"/>
    <w:rsid w:val="007F06F2"/>
    <w:rsid w:val="007F0AA8"/>
    <w:rsid w:val="007F1EBF"/>
    <w:rsid w:val="007F2F51"/>
    <w:rsid w:val="007F33A9"/>
    <w:rsid w:val="007F5E5C"/>
    <w:rsid w:val="007F6532"/>
    <w:rsid w:val="007F726E"/>
    <w:rsid w:val="0080081D"/>
    <w:rsid w:val="0080143B"/>
    <w:rsid w:val="00803EFB"/>
    <w:rsid w:val="00804A93"/>
    <w:rsid w:val="008059C8"/>
    <w:rsid w:val="008120C3"/>
    <w:rsid w:val="00812460"/>
    <w:rsid w:val="008126F0"/>
    <w:rsid w:val="00812B4B"/>
    <w:rsid w:val="00822BB4"/>
    <w:rsid w:val="00826EA3"/>
    <w:rsid w:val="0083175E"/>
    <w:rsid w:val="008322CC"/>
    <w:rsid w:val="00832901"/>
    <w:rsid w:val="00833BE6"/>
    <w:rsid w:val="00835D29"/>
    <w:rsid w:val="00836782"/>
    <w:rsid w:val="00836985"/>
    <w:rsid w:val="00836E03"/>
    <w:rsid w:val="00842BCA"/>
    <w:rsid w:val="0084748C"/>
    <w:rsid w:val="00847987"/>
    <w:rsid w:val="00851A6E"/>
    <w:rsid w:val="008547A1"/>
    <w:rsid w:val="008559B5"/>
    <w:rsid w:val="00856C68"/>
    <w:rsid w:val="00856D7D"/>
    <w:rsid w:val="00857313"/>
    <w:rsid w:val="00862489"/>
    <w:rsid w:val="008624A0"/>
    <w:rsid w:val="00862895"/>
    <w:rsid w:val="008653B5"/>
    <w:rsid w:val="00866951"/>
    <w:rsid w:val="00866F6F"/>
    <w:rsid w:val="00872594"/>
    <w:rsid w:val="008755C4"/>
    <w:rsid w:val="00877321"/>
    <w:rsid w:val="0087763C"/>
    <w:rsid w:val="0088012E"/>
    <w:rsid w:val="00880174"/>
    <w:rsid w:val="008806C2"/>
    <w:rsid w:val="008814BB"/>
    <w:rsid w:val="008820C3"/>
    <w:rsid w:val="008828F6"/>
    <w:rsid w:val="00883189"/>
    <w:rsid w:val="0088319D"/>
    <w:rsid w:val="008846F2"/>
    <w:rsid w:val="00885E4C"/>
    <w:rsid w:val="0088633B"/>
    <w:rsid w:val="00886FF6"/>
    <w:rsid w:val="008878B2"/>
    <w:rsid w:val="0089294A"/>
    <w:rsid w:val="0089405E"/>
    <w:rsid w:val="008966C9"/>
    <w:rsid w:val="008A03E2"/>
    <w:rsid w:val="008A0E94"/>
    <w:rsid w:val="008A2A6C"/>
    <w:rsid w:val="008A2E47"/>
    <w:rsid w:val="008A63DF"/>
    <w:rsid w:val="008B1A22"/>
    <w:rsid w:val="008B3A27"/>
    <w:rsid w:val="008B4B4E"/>
    <w:rsid w:val="008B4F70"/>
    <w:rsid w:val="008B6E0D"/>
    <w:rsid w:val="008B7445"/>
    <w:rsid w:val="008B770C"/>
    <w:rsid w:val="008B7F64"/>
    <w:rsid w:val="008C0D55"/>
    <w:rsid w:val="008D0A63"/>
    <w:rsid w:val="008D3720"/>
    <w:rsid w:val="008D496B"/>
    <w:rsid w:val="008D7936"/>
    <w:rsid w:val="008D7C09"/>
    <w:rsid w:val="008E074E"/>
    <w:rsid w:val="008E181D"/>
    <w:rsid w:val="008E1A46"/>
    <w:rsid w:val="008E2508"/>
    <w:rsid w:val="008E26E5"/>
    <w:rsid w:val="008E7187"/>
    <w:rsid w:val="008E76AD"/>
    <w:rsid w:val="008F0EFE"/>
    <w:rsid w:val="008F0F68"/>
    <w:rsid w:val="008F1548"/>
    <w:rsid w:val="008F4A08"/>
    <w:rsid w:val="008F4FDB"/>
    <w:rsid w:val="008F53C4"/>
    <w:rsid w:val="008F682D"/>
    <w:rsid w:val="008F69D7"/>
    <w:rsid w:val="008F7321"/>
    <w:rsid w:val="00900A33"/>
    <w:rsid w:val="009023DA"/>
    <w:rsid w:val="00902AE5"/>
    <w:rsid w:val="009051D6"/>
    <w:rsid w:val="009053EB"/>
    <w:rsid w:val="00906C0F"/>
    <w:rsid w:val="0091027C"/>
    <w:rsid w:val="009116BC"/>
    <w:rsid w:val="00913514"/>
    <w:rsid w:val="00913946"/>
    <w:rsid w:val="009142FE"/>
    <w:rsid w:val="00915712"/>
    <w:rsid w:val="00915AC2"/>
    <w:rsid w:val="00915E8A"/>
    <w:rsid w:val="00920A44"/>
    <w:rsid w:val="00921291"/>
    <w:rsid w:val="00922543"/>
    <w:rsid w:val="0092395F"/>
    <w:rsid w:val="0092486B"/>
    <w:rsid w:val="00924FF6"/>
    <w:rsid w:val="00925150"/>
    <w:rsid w:val="00931FB1"/>
    <w:rsid w:val="00933192"/>
    <w:rsid w:val="00933A80"/>
    <w:rsid w:val="00935845"/>
    <w:rsid w:val="00936E7F"/>
    <w:rsid w:val="00940C08"/>
    <w:rsid w:val="009425F5"/>
    <w:rsid w:val="00946F2B"/>
    <w:rsid w:val="009473EB"/>
    <w:rsid w:val="0095187E"/>
    <w:rsid w:val="00952FBD"/>
    <w:rsid w:val="00953AD4"/>
    <w:rsid w:val="0095416B"/>
    <w:rsid w:val="00954291"/>
    <w:rsid w:val="00954D7E"/>
    <w:rsid w:val="00956ACF"/>
    <w:rsid w:val="00957A66"/>
    <w:rsid w:val="00960490"/>
    <w:rsid w:val="0096092E"/>
    <w:rsid w:val="00960A7C"/>
    <w:rsid w:val="00961101"/>
    <w:rsid w:val="009612E3"/>
    <w:rsid w:val="009637A6"/>
    <w:rsid w:val="009647BD"/>
    <w:rsid w:val="0096513C"/>
    <w:rsid w:val="00965487"/>
    <w:rsid w:val="0096664B"/>
    <w:rsid w:val="009679AF"/>
    <w:rsid w:val="00967BDA"/>
    <w:rsid w:val="009772E5"/>
    <w:rsid w:val="00983DD1"/>
    <w:rsid w:val="0098660D"/>
    <w:rsid w:val="00987C2F"/>
    <w:rsid w:val="0099237A"/>
    <w:rsid w:val="00992A99"/>
    <w:rsid w:val="00993C0D"/>
    <w:rsid w:val="00993FA5"/>
    <w:rsid w:val="00996C39"/>
    <w:rsid w:val="009A0E22"/>
    <w:rsid w:val="009A1F3B"/>
    <w:rsid w:val="009A38ED"/>
    <w:rsid w:val="009A433A"/>
    <w:rsid w:val="009A5AB3"/>
    <w:rsid w:val="009A6503"/>
    <w:rsid w:val="009B4893"/>
    <w:rsid w:val="009B5AF5"/>
    <w:rsid w:val="009C168C"/>
    <w:rsid w:val="009C1706"/>
    <w:rsid w:val="009C1FAB"/>
    <w:rsid w:val="009C2642"/>
    <w:rsid w:val="009C6135"/>
    <w:rsid w:val="009D16B8"/>
    <w:rsid w:val="009D1DC4"/>
    <w:rsid w:val="009D1E39"/>
    <w:rsid w:val="009D2D3F"/>
    <w:rsid w:val="009D3A9F"/>
    <w:rsid w:val="009D4C2C"/>
    <w:rsid w:val="009D5954"/>
    <w:rsid w:val="009D66DA"/>
    <w:rsid w:val="009D6FAA"/>
    <w:rsid w:val="009E1D9F"/>
    <w:rsid w:val="009E2FB1"/>
    <w:rsid w:val="009E4361"/>
    <w:rsid w:val="009E4889"/>
    <w:rsid w:val="009E5EFA"/>
    <w:rsid w:val="009F00A9"/>
    <w:rsid w:val="009F104E"/>
    <w:rsid w:val="009F1A3A"/>
    <w:rsid w:val="009F2715"/>
    <w:rsid w:val="009F2766"/>
    <w:rsid w:val="009F5FD2"/>
    <w:rsid w:val="009F647E"/>
    <w:rsid w:val="00A00459"/>
    <w:rsid w:val="00A016C5"/>
    <w:rsid w:val="00A017C2"/>
    <w:rsid w:val="00A04B05"/>
    <w:rsid w:val="00A056BD"/>
    <w:rsid w:val="00A06448"/>
    <w:rsid w:val="00A06CB3"/>
    <w:rsid w:val="00A131FE"/>
    <w:rsid w:val="00A13E8B"/>
    <w:rsid w:val="00A165B5"/>
    <w:rsid w:val="00A21FA7"/>
    <w:rsid w:val="00A21FDD"/>
    <w:rsid w:val="00A24C3C"/>
    <w:rsid w:val="00A26749"/>
    <w:rsid w:val="00A27A6B"/>
    <w:rsid w:val="00A27B70"/>
    <w:rsid w:val="00A30C36"/>
    <w:rsid w:val="00A31497"/>
    <w:rsid w:val="00A339DF"/>
    <w:rsid w:val="00A33A82"/>
    <w:rsid w:val="00A3436A"/>
    <w:rsid w:val="00A34A05"/>
    <w:rsid w:val="00A34B3F"/>
    <w:rsid w:val="00A36F7D"/>
    <w:rsid w:val="00A376E7"/>
    <w:rsid w:val="00A41B5A"/>
    <w:rsid w:val="00A43CA5"/>
    <w:rsid w:val="00A45C32"/>
    <w:rsid w:val="00A465EA"/>
    <w:rsid w:val="00A46B75"/>
    <w:rsid w:val="00A52A9C"/>
    <w:rsid w:val="00A53687"/>
    <w:rsid w:val="00A558D5"/>
    <w:rsid w:val="00A55F60"/>
    <w:rsid w:val="00A570BF"/>
    <w:rsid w:val="00A5798B"/>
    <w:rsid w:val="00A60908"/>
    <w:rsid w:val="00A64ADD"/>
    <w:rsid w:val="00A64CC9"/>
    <w:rsid w:val="00A67BB5"/>
    <w:rsid w:val="00A70AA0"/>
    <w:rsid w:val="00A80CB2"/>
    <w:rsid w:val="00A85117"/>
    <w:rsid w:val="00A90878"/>
    <w:rsid w:val="00A911D6"/>
    <w:rsid w:val="00A93C2F"/>
    <w:rsid w:val="00A940C1"/>
    <w:rsid w:val="00A94F1C"/>
    <w:rsid w:val="00A96311"/>
    <w:rsid w:val="00A968CD"/>
    <w:rsid w:val="00A972F6"/>
    <w:rsid w:val="00AA0552"/>
    <w:rsid w:val="00AA1309"/>
    <w:rsid w:val="00AA14E4"/>
    <w:rsid w:val="00AA359F"/>
    <w:rsid w:val="00AA5520"/>
    <w:rsid w:val="00AA585C"/>
    <w:rsid w:val="00AA5A6F"/>
    <w:rsid w:val="00AA5E51"/>
    <w:rsid w:val="00AA63AD"/>
    <w:rsid w:val="00AA6B18"/>
    <w:rsid w:val="00AB0185"/>
    <w:rsid w:val="00AB11F1"/>
    <w:rsid w:val="00AB28CA"/>
    <w:rsid w:val="00AB43C2"/>
    <w:rsid w:val="00AB4474"/>
    <w:rsid w:val="00AB57CB"/>
    <w:rsid w:val="00AB6B28"/>
    <w:rsid w:val="00AB72C8"/>
    <w:rsid w:val="00AB7573"/>
    <w:rsid w:val="00AC5F23"/>
    <w:rsid w:val="00AC6FF0"/>
    <w:rsid w:val="00AD0021"/>
    <w:rsid w:val="00AD163F"/>
    <w:rsid w:val="00AD3AA6"/>
    <w:rsid w:val="00AE2004"/>
    <w:rsid w:val="00AE275A"/>
    <w:rsid w:val="00AE2C58"/>
    <w:rsid w:val="00AE39B7"/>
    <w:rsid w:val="00AE4CC9"/>
    <w:rsid w:val="00AF06B1"/>
    <w:rsid w:val="00AF25B7"/>
    <w:rsid w:val="00AF2FC9"/>
    <w:rsid w:val="00AF314E"/>
    <w:rsid w:val="00AF3B89"/>
    <w:rsid w:val="00AF4050"/>
    <w:rsid w:val="00AF7A5F"/>
    <w:rsid w:val="00B0187A"/>
    <w:rsid w:val="00B05B5D"/>
    <w:rsid w:val="00B05B9D"/>
    <w:rsid w:val="00B06A56"/>
    <w:rsid w:val="00B10CA9"/>
    <w:rsid w:val="00B111C1"/>
    <w:rsid w:val="00B122A3"/>
    <w:rsid w:val="00B15095"/>
    <w:rsid w:val="00B15998"/>
    <w:rsid w:val="00B1747B"/>
    <w:rsid w:val="00B22639"/>
    <w:rsid w:val="00B23826"/>
    <w:rsid w:val="00B23A10"/>
    <w:rsid w:val="00B23A7C"/>
    <w:rsid w:val="00B2477D"/>
    <w:rsid w:val="00B24FB2"/>
    <w:rsid w:val="00B258C6"/>
    <w:rsid w:val="00B259D9"/>
    <w:rsid w:val="00B26B9B"/>
    <w:rsid w:val="00B3007E"/>
    <w:rsid w:val="00B30098"/>
    <w:rsid w:val="00B3130B"/>
    <w:rsid w:val="00B33111"/>
    <w:rsid w:val="00B33432"/>
    <w:rsid w:val="00B33DE9"/>
    <w:rsid w:val="00B33F50"/>
    <w:rsid w:val="00B35B13"/>
    <w:rsid w:val="00B37293"/>
    <w:rsid w:val="00B4265D"/>
    <w:rsid w:val="00B50D49"/>
    <w:rsid w:val="00B52CC4"/>
    <w:rsid w:val="00B535ED"/>
    <w:rsid w:val="00B56AC1"/>
    <w:rsid w:val="00B57548"/>
    <w:rsid w:val="00B57FD4"/>
    <w:rsid w:val="00B644E4"/>
    <w:rsid w:val="00B70B78"/>
    <w:rsid w:val="00B72250"/>
    <w:rsid w:val="00B81AA3"/>
    <w:rsid w:val="00B83668"/>
    <w:rsid w:val="00B8521D"/>
    <w:rsid w:val="00B86FC6"/>
    <w:rsid w:val="00B90504"/>
    <w:rsid w:val="00B95668"/>
    <w:rsid w:val="00B97039"/>
    <w:rsid w:val="00BA0712"/>
    <w:rsid w:val="00BA11D1"/>
    <w:rsid w:val="00BA3F65"/>
    <w:rsid w:val="00BA5E8E"/>
    <w:rsid w:val="00BA775F"/>
    <w:rsid w:val="00BB0633"/>
    <w:rsid w:val="00BB32A7"/>
    <w:rsid w:val="00BB3550"/>
    <w:rsid w:val="00BB3C6C"/>
    <w:rsid w:val="00BB7050"/>
    <w:rsid w:val="00BB74C8"/>
    <w:rsid w:val="00BB7715"/>
    <w:rsid w:val="00BC5E79"/>
    <w:rsid w:val="00BD0474"/>
    <w:rsid w:val="00BD0528"/>
    <w:rsid w:val="00BD06EE"/>
    <w:rsid w:val="00BD1CF1"/>
    <w:rsid w:val="00BD57F9"/>
    <w:rsid w:val="00BE24C4"/>
    <w:rsid w:val="00BE4675"/>
    <w:rsid w:val="00BE57B8"/>
    <w:rsid w:val="00BF2404"/>
    <w:rsid w:val="00BF30A6"/>
    <w:rsid w:val="00BF6154"/>
    <w:rsid w:val="00C03C5E"/>
    <w:rsid w:val="00C054DE"/>
    <w:rsid w:val="00C05710"/>
    <w:rsid w:val="00C0657F"/>
    <w:rsid w:val="00C067A4"/>
    <w:rsid w:val="00C07F12"/>
    <w:rsid w:val="00C1096A"/>
    <w:rsid w:val="00C10D75"/>
    <w:rsid w:val="00C141F9"/>
    <w:rsid w:val="00C149BB"/>
    <w:rsid w:val="00C15E57"/>
    <w:rsid w:val="00C17184"/>
    <w:rsid w:val="00C22B9B"/>
    <w:rsid w:val="00C230D0"/>
    <w:rsid w:val="00C24F2F"/>
    <w:rsid w:val="00C265EB"/>
    <w:rsid w:val="00C27FE4"/>
    <w:rsid w:val="00C302AE"/>
    <w:rsid w:val="00C31B70"/>
    <w:rsid w:val="00C334A4"/>
    <w:rsid w:val="00C338BC"/>
    <w:rsid w:val="00C373E5"/>
    <w:rsid w:val="00C40D20"/>
    <w:rsid w:val="00C41875"/>
    <w:rsid w:val="00C4402F"/>
    <w:rsid w:val="00C453D9"/>
    <w:rsid w:val="00C47380"/>
    <w:rsid w:val="00C52FB8"/>
    <w:rsid w:val="00C534FA"/>
    <w:rsid w:val="00C53577"/>
    <w:rsid w:val="00C55B68"/>
    <w:rsid w:val="00C56655"/>
    <w:rsid w:val="00C566A3"/>
    <w:rsid w:val="00C56822"/>
    <w:rsid w:val="00C56F77"/>
    <w:rsid w:val="00C57552"/>
    <w:rsid w:val="00C57DAB"/>
    <w:rsid w:val="00C61AD8"/>
    <w:rsid w:val="00C61FF2"/>
    <w:rsid w:val="00C624A5"/>
    <w:rsid w:val="00C626A6"/>
    <w:rsid w:val="00C648D1"/>
    <w:rsid w:val="00C64D79"/>
    <w:rsid w:val="00C70849"/>
    <w:rsid w:val="00C70A6D"/>
    <w:rsid w:val="00C70D8D"/>
    <w:rsid w:val="00C7338D"/>
    <w:rsid w:val="00C73C97"/>
    <w:rsid w:val="00C74742"/>
    <w:rsid w:val="00C7509B"/>
    <w:rsid w:val="00C75778"/>
    <w:rsid w:val="00C76DDE"/>
    <w:rsid w:val="00C77A04"/>
    <w:rsid w:val="00C84F4F"/>
    <w:rsid w:val="00C85983"/>
    <w:rsid w:val="00C862E3"/>
    <w:rsid w:val="00C86E72"/>
    <w:rsid w:val="00C87629"/>
    <w:rsid w:val="00C9175E"/>
    <w:rsid w:val="00C92A35"/>
    <w:rsid w:val="00C92EF8"/>
    <w:rsid w:val="00C933EE"/>
    <w:rsid w:val="00C93507"/>
    <w:rsid w:val="00C9453A"/>
    <w:rsid w:val="00C94B29"/>
    <w:rsid w:val="00C950D0"/>
    <w:rsid w:val="00C951EB"/>
    <w:rsid w:val="00C95AAE"/>
    <w:rsid w:val="00C95EEC"/>
    <w:rsid w:val="00C97736"/>
    <w:rsid w:val="00CA136B"/>
    <w:rsid w:val="00CA1CA2"/>
    <w:rsid w:val="00CA247E"/>
    <w:rsid w:val="00CA299E"/>
    <w:rsid w:val="00CA6214"/>
    <w:rsid w:val="00CA762F"/>
    <w:rsid w:val="00CB000D"/>
    <w:rsid w:val="00CB2560"/>
    <w:rsid w:val="00CB293B"/>
    <w:rsid w:val="00CB3E1E"/>
    <w:rsid w:val="00CB4516"/>
    <w:rsid w:val="00CB4CAE"/>
    <w:rsid w:val="00CB7280"/>
    <w:rsid w:val="00CB7AF0"/>
    <w:rsid w:val="00CC0753"/>
    <w:rsid w:val="00CC1F2B"/>
    <w:rsid w:val="00CC28E4"/>
    <w:rsid w:val="00CC3A31"/>
    <w:rsid w:val="00CC52B9"/>
    <w:rsid w:val="00CC6B16"/>
    <w:rsid w:val="00CD0E2A"/>
    <w:rsid w:val="00CD2502"/>
    <w:rsid w:val="00CD3379"/>
    <w:rsid w:val="00CD3419"/>
    <w:rsid w:val="00CD415A"/>
    <w:rsid w:val="00CD75D4"/>
    <w:rsid w:val="00CE05D4"/>
    <w:rsid w:val="00CE6829"/>
    <w:rsid w:val="00CF3761"/>
    <w:rsid w:val="00CF3AB7"/>
    <w:rsid w:val="00CF5436"/>
    <w:rsid w:val="00CF5C55"/>
    <w:rsid w:val="00CF5CA3"/>
    <w:rsid w:val="00CF6417"/>
    <w:rsid w:val="00CF66B1"/>
    <w:rsid w:val="00CF72C0"/>
    <w:rsid w:val="00CF7899"/>
    <w:rsid w:val="00D02045"/>
    <w:rsid w:val="00D0229C"/>
    <w:rsid w:val="00D02A30"/>
    <w:rsid w:val="00D06161"/>
    <w:rsid w:val="00D0709E"/>
    <w:rsid w:val="00D074FA"/>
    <w:rsid w:val="00D07F96"/>
    <w:rsid w:val="00D12891"/>
    <w:rsid w:val="00D135A3"/>
    <w:rsid w:val="00D138E7"/>
    <w:rsid w:val="00D16981"/>
    <w:rsid w:val="00D17BEC"/>
    <w:rsid w:val="00D214AD"/>
    <w:rsid w:val="00D21DBD"/>
    <w:rsid w:val="00D23900"/>
    <w:rsid w:val="00D24CD1"/>
    <w:rsid w:val="00D2608F"/>
    <w:rsid w:val="00D2721C"/>
    <w:rsid w:val="00D27790"/>
    <w:rsid w:val="00D3418A"/>
    <w:rsid w:val="00D3488B"/>
    <w:rsid w:val="00D34FE0"/>
    <w:rsid w:val="00D35049"/>
    <w:rsid w:val="00D358A9"/>
    <w:rsid w:val="00D36497"/>
    <w:rsid w:val="00D42D04"/>
    <w:rsid w:val="00D42DF3"/>
    <w:rsid w:val="00D43873"/>
    <w:rsid w:val="00D43CB4"/>
    <w:rsid w:val="00D459D5"/>
    <w:rsid w:val="00D50A20"/>
    <w:rsid w:val="00D50DA4"/>
    <w:rsid w:val="00D51661"/>
    <w:rsid w:val="00D51FEF"/>
    <w:rsid w:val="00D545CA"/>
    <w:rsid w:val="00D54B71"/>
    <w:rsid w:val="00D54D58"/>
    <w:rsid w:val="00D55B94"/>
    <w:rsid w:val="00D57DE7"/>
    <w:rsid w:val="00D626E5"/>
    <w:rsid w:val="00D63439"/>
    <w:rsid w:val="00D6634B"/>
    <w:rsid w:val="00D7124A"/>
    <w:rsid w:val="00D71717"/>
    <w:rsid w:val="00D74605"/>
    <w:rsid w:val="00D76969"/>
    <w:rsid w:val="00D77DCA"/>
    <w:rsid w:val="00D82A20"/>
    <w:rsid w:val="00D848FE"/>
    <w:rsid w:val="00D84DE7"/>
    <w:rsid w:val="00D85484"/>
    <w:rsid w:val="00D86FA6"/>
    <w:rsid w:val="00D87644"/>
    <w:rsid w:val="00D91F5B"/>
    <w:rsid w:val="00D924A8"/>
    <w:rsid w:val="00D92E9A"/>
    <w:rsid w:val="00D94BA8"/>
    <w:rsid w:val="00D95C0B"/>
    <w:rsid w:val="00D95F13"/>
    <w:rsid w:val="00DA08BB"/>
    <w:rsid w:val="00DA09A8"/>
    <w:rsid w:val="00DA15BC"/>
    <w:rsid w:val="00DA16B1"/>
    <w:rsid w:val="00DA3482"/>
    <w:rsid w:val="00DA49A2"/>
    <w:rsid w:val="00DA6CB9"/>
    <w:rsid w:val="00DB1536"/>
    <w:rsid w:val="00DB286C"/>
    <w:rsid w:val="00DB327C"/>
    <w:rsid w:val="00DB4DC6"/>
    <w:rsid w:val="00DB7CA2"/>
    <w:rsid w:val="00DC05BE"/>
    <w:rsid w:val="00DC0903"/>
    <w:rsid w:val="00DC1DEC"/>
    <w:rsid w:val="00DC2F5D"/>
    <w:rsid w:val="00DC367F"/>
    <w:rsid w:val="00DC384C"/>
    <w:rsid w:val="00DC4356"/>
    <w:rsid w:val="00DC4BDC"/>
    <w:rsid w:val="00DC6B66"/>
    <w:rsid w:val="00DC721E"/>
    <w:rsid w:val="00DD1295"/>
    <w:rsid w:val="00DD2D74"/>
    <w:rsid w:val="00DD52AE"/>
    <w:rsid w:val="00DE09DA"/>
    <w:rsid w:val="00DE1D66"/>
    <w:rsid w:val="00DE277E"/>
    <w:rsid w:val="00DE3082"/>
    <w:rsid w:val="00DE3240"/>
    <w:rsid w:val="00DE63E9"/>
    <w:rsid w:val="00DF2DC8"/>
    <w:rsid w:val="00DF2EF8"/>
    <w:rsid w:val="00E02E41"/>
    <w:rsid w:val="00E03724"/>
    <w:rsid w:val="00E03BA9"/>
    <w:rsid w:val="00E0639A"/>
    <w:rsid w:val="00E074FC"/>
    <w:rsid w:val="00E0756D"/>
    <w:rsid w:val="00E105A2"/>
    <w:rsid w:val="00E10866"/>
    <w:rsid w:val="00E11CE8"/>
    <w:rsid w:val="00E121A5"/>
    <w:rsid w:val="00E12B82"/>
    <w:rsid w:val="00E21BD3"/>
    <w:rsid w:val="00E25234"/>
    <w:rsid w:val="00E2565B"/>
    <w:rsid w:val="00E26356"/>
    <w:rsid w:val="00E3102D"/>
    <w:rsid w:val="00E340BF"/>
    <w:rsid w:val="00E341AF"/>
    <w:rsid w:val="00E3467A"/>
    <w:rsid w:val="00E41362"/>
    <w:rsid w:val="00E41E25"/>
    <w:rsid w:val="00E44272"/>
    <w:rsid w:val="00E45D7C"/>
    <w:rsid w:val="00E47BFC"/>
    <w:rsid w:val="00E51BFE"/>
    <w:rsid w:val="00E51EAE"/>
    <w:rsid w:val="00E527E2"/>
    <w:rsid w:val="00E53B96"/>
    <w:rsid w:val="00E54022"/>
    <w:rsid w:val="00E561CC"/>
    <w:rsid w:val="00E57641"/>
    <w:rsid w:val="00E6134C"/>
    <w:rsid w:val="00E614A7"/>
    <w:rsid w:val="00E62CEE"/>
    <w:rsid w:val="00E64469"/>
    <w:rsid w:val="00E64D33"/>
    <w:rsid w:val="00E65516"/>
    <w:rsid w:val="00E6781E"/>
    <w:rsid w:val="00E67838"/>
    <w:rsid w:val="00E70F36"/>
    <w:rsid w:val="00E747B8"/>
    <w:rsid w:val="00E776D1"/>
    <w:rsid w:val="00E81E49"/>
    <w:rsid w:val="00E849C3"/>
    <w:rsid w:val="00E86A10"/>
    <w:rsid w:val="00E871D5"/>
    <w:rsid w:val="00E8736F"/>
    <w:rsid w:val="00E87D6A"/>
    <w:rsid w:val="00E915F1"/>
    <w:rsid w:val="00E92E12"/>
    <w:rsid w:val="00E946DD"/>
    <w:rsid w:val="00E949D9"/>
    <w:rsid w:val="00E96582"/>
    <w:rsid w:val="00E9708A"/>
    <w:rsid w:val="00EA17E0"/>
    <w:rsid w:val="00EA3C5B"/>
    <w:rsid w:val="00EA528E"/>
    <w:rsid w:val="00EB0844"/>
    <w:rsid w:val="00EB0F29"/>
    <w:rsid w:val="00EB12EE"/>
    <w:rsid w:val="00EB56CC"/>
    <w:rsid w:val="00EB6F29"/>
    <w:rsid w:val="00EB7155"/>
    <w:rsid w:val="00EB7253"/>
    <w:rsid w:val="00EC24A1"/>
    <w:rsid w:val="00EC310D"/>
    <w:rsid w:val="00EC45D9"/>
    <w:rsid w:val="00EC55F0"/>
    <w:rsid w:val="00EC5738"/>
    <w:rsid w:val="00EC5810"/>
    <w:rsid w:val="00EC58A0"/>
    <w:rsid w:val="00ED02AC"/>
    <w:rsid w:val="00ED121D"/>
    <w:rsid w:val="00ED2EE1"/>
    <w:rsid w:val="00ED66C5"/>
    <w:rsid w:val="00ED6F40"/>
    <w:rsid w:val="00ED7CE0"/>
    <w:rsid w:val="00EE086C"/>
    <w:rsid w:val="00EE2F84"/>
    <w:rsid w:val="00EE37F1"/>
    <w:rsid w:val="00EE435A"/>
    <w:rsid w:val="00EE56D5"/>
    <w:rsid w:val="00EE70E6"/>
    <w:rsid w:val="00EF26C0"/>
    <w:rsid w:val="00EF3D6B"/>
    <w:rsid w:val="00EF4B05"/>
    <w:rsid w:val="00EF4D43"/>
    <w:rsid w:val="00EF7857"/>
    <w:rsid w:val="00F01242"/>
    <w:rsid w:val="00F03C10"/>
    <w:rsid w:val="00F06FA8"/>
    <w:rsid w:val="00F0708E"/>
    <w:rsid w:val="00F129FA"/>
    <w:rsid w:val="00F12C4C"/>
    <w:rsid w:val="00F23AD3"/>
    <w:rsid w:val="00F2566B"/>
    <w:rsid w:val="00F26560"/>
    <w:rsid w:val="00F327A8"/>
    <w:rsid w:val="00F33FF2"/>
    <w:rsid w:val="00F350F7"/>
    <w:rsid w:val="00F36191"/>
    <w:rsid w:val="00F36231"/>
    <w:rsid w:val="00F36300"/>
    <w:rsid w:val="00F376A3"/>
    <w:rsid w:val="00F3775B"/>
    <w:rsid w:val="00F377B0"/>
    <w:rsid w:val="00F4236B"/>
    <w:rsid w:val="00F437CE"/>
    <w:rsid w:val="00F43F2E"/>
    <w:rsid w:val="00F46BFF"/>
    <w:rsid w:val="00F50731"/>
    <w:rsid w:val="00F50872"/>
    <w:rsid w:val="00F50958"/>
    <w:rsid w:val="00F52D9C"/>
    <w:rsid w:val="00F548D8"/>
    <w:rsid w:val="00F55B5B"/>
    <w:rsid w:val="00F564B0"/>
    <w:rsid w:val="00F5671E"/>
    <w:rsid w:val="00F57084"/>
    <w:rsid w:val="00F573BC"/>
    <w:rsid w:val="00F605ED"/>
    <w:rsid w:val="00F60DEB"/>
    <w:rsid w:val="00F64640"/>
    <w:rsid w:val="00F667CE"/>
    <w:rsid w:val="00F70799"/>
    <w:rsid w:val="00F71E0F"/>
    <w:rsid w:val="00F732D0"/>
    <w:rsid w:val="00F7395D"/>
    <w:rsid w:val="00F73E45"/>
    <w:rsid w:val="00F768DE"/>
    <w:rsid w:val="00F774A1"/>
    <w:rsid w:val="00F8021D"/>
    <w:rsid w:val="00F84FC6"/>
    <w:rsid w:val="00F85408"/>
    <w:rsid w:val="00F8725D"/>
    <w:rsid w:val="00F87263"/>
    <w:rsid w:val="00F879C2"/>
    <w:rsid w:val="00F956C2"/>
    <w:rsid w:val="00F95A30"/>
    <w:rsid w:val="00F9791B"/>
    <w:rsid w:val="00FA2506"/>
    <w:rsid w:val="00FA2D6D"/>
    <w:rsid w:val="00FA3B36"/>
    <w:rsid w:val="00FA4579"/>
    <w:rsid w:val="00FA502E"/>
    <w:rsid w:val="00FA61B3"/>
    <w:rsid w:val="00FA66CF"/>
    <w:rsid w:val="00FA6FC3"/>
    <w:rsid w:val="00FB00B7"/>
    <w:rsid w:val="00FB0DED"/>
    <w:rsid w:val="00FB1200"/>
    <w:rsid w:val="00FB1DEB"/>
    <w:rsid w:val="00FB2A0D"/>
    <w:rsid w:val="00FB5DEE"/>
    <w:rsid w:val="00FB6FFB"/>
    <w:rsid w:val="00FB7097"/>
    <w:rsid w:val="00FB7E1B"/>
    <w:rsid w:val="00FC3503"/>
    <w:rsid w:val="00FC45C0"/>
    <w:rsid w:val="00FC499B"/>
    <w:rsid w:val="00FC61D9"/>
    <w:rsid w:val="00FC6966"/>
    <w:rsid w:val="00FD1F4A"/>
    <w:rsid w:val="00FD3C42"/>
    <w:rsid w:val="00FD6ADB"/>
    <w:rsid w:val="00FE0615"/>
    <w:rsid w:val="00FE1AA0"/>
    <w:rsid w:val="00FE3999"/>
    <w:rsid w:val="00FE7AAD"/>
    <w:rsid w:val="00FF7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93C11D"/>
  <w15:docId w15:val="{F74E2799-50A9-4F91-AB92-E9061A965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40" w:line="480" w:lineRule="auto"/>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E00"/>
    <w:pPr>
      <w:jc w:val="both"/>
    </w:pPr>
    <w:rPr>
      <w:sz w:val="24"/>
    </w:rPr>
  </w:style>
  <w:style w:type="paragraph" w:styleId="Heading1">
    <w:name w:val="heading 1"/>
    <w:basedOn w:val="Normal"/>
    <w:next w:val="Normal"/>
    <w:link w:val="Heading1Char"/>
    <w:uiPriority w:val="9"/>
    <w:qFormat/>
    <w:rsid w:val="00F43F2E"/>
    <w:pPr>
      <w:spacing w:before="600" w:after="0" w:line="360" w:lineRule="auto"/>
      <w:ind w:firstLine="0"/>
      <w:outlineLvl w:val="0"/>
    </w:pPr>
    <w:rPr>
      <w:rFonts w:asciiTheme="majorHAnsi" w:eastAsiaTheme="majorEastAsia" w:hAnsiTheme="majorHAnsi" w:cstheme="majorBidi"/>
      <w:b/>
      <w:bCs/>
      <w:iCs/>
      <w:caps/>
      <w:szCs w:val="32"/>
    </w:rPr>
  </w:style>
  <w:style w:type="paragraph" w:styleId="Heading2">
    <w:name w:val="heading 2"/>
    <w:basedOn w:val="Normal"/>
    <w:next w:val="Normal"/>
    <w:link w:val="Heading2Char"/>
    <w:uiPriority w:val="9"/>
    <w:unhideWhenUsed/>
    <w:qFormat/>
    <w:rsid w:val="00C86E72"/>
    <w:pPr>
      <w:spacing w:before="320" w:after="0" w:line="360" w:lineRule="auto"/>
      <w:ind w:firstLine="0"/>
      <w:outlineLvl w:val="1"/>
    </w:pPr>
    <w:rPr>
      <w:rFonts w:asciiTheme="majorHAnsi" w:eastAsiaTheme="majorEastAsia" w:hAnsiTheme="majorHAnsi" w:cstheme="majorBidi"/>
      <w:b/>
      <w:bCs/>
      <w:i/>
      <w:iCs/>
      <w:szCs w:val="28"/>
    </w:rPr>
  </w:style>
  <w:style w:type="paragraph" w:styleId="Heading3">
    <w:name w:val="heading 3"/>
    <w:basedOn w:val="Normal"/>
    <w:next w:val="Normal"/>
    <w:link w:val="Heading3Char"/>
    <w:uiPriority w:val="9"/>
    <w:semiHidden/>
    <w:unhideWhenUsed/>
    <w:qFormat/>
    <w:rsid w:val="00FE1AA0"/>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FE1AA0"/>
    <w:pPr>
      <w:spacing w:before="280" w:after="0" w:line="360" w:lineRule="auto"/>
      <w:ind w:firstLine="0"/>
      <w:outlineLvl w:val="3"/>
    </w:pPr>
    <w:rPr>
      <w:rFonts w:asciiTheme="majorHAnsi" w:eastAsiaTheme="majorEastAsia" w:hAnsiTheme="majorHAnsi" w:cstheme="majorBidi"/>
      <w:b/>
      <w:bCs/>
      <w:i/>
      <w:iCs/>
      <w:szCs w:val="24"/>
    </w:rPr>
  </w:style>
  <w:style w:type="paragraph" w:styleId="Heading5">
    <w:name w:val="heading 5"/>
    <w:basedOn w:val="Normal"/>
    <w:next w:val="Normal"/>
    <w:link w:val="Heading5Char"/>
    <w:uiPriority w:val="9"/>
    <w:semiHidden/>
    <w:unhideWhenUsed/>
    <w:qFormat/>
    <w:rsid w:val="00FE1AA0"/>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FE1AA0"/>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FE1AA0"/>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FE1AA0"/>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FE1AA0"/>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1AA0"/>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FE1AA0"/>
    <w:rPr>
      <w:rFonts w:asciiTheme="majorHAnsi" w:eastAsiaTheme="majorEastAsia" w:hAnsiTheme="majorHAnsi" w:cstheme="majorBidi"/>
      <w:b/>
      <w:bCs/>
      <w:i/>
      <w:iCs/>
      <w:spacing w:val="10"/>
      <w:sz w:val="60"/>
      <w:szCs w:val="60"/>
    </w:rPr>
  </w:style>
  <w:style w:type="character" w:styleId="Hyperlink">
    <w:name w:val="Hyperlink"/>
    <w:basedOn w:val="DefaultParagraphFont"/>
    <w:uiPriority w:val="99"/>
    <w:unhideWhenUsed/>
    <w:rsid w:val="00E3467A"/>
    <w:rPr>
      <w:color w:val="F49100" w:themeColor="hyperlink"/>
      <w:u w:val="single"/>
    </w:rPr>
  </w:style>
  <w:style w:type="character" w:customStyle="1" w:styleId="Heading1Char">
    <w:name w:val="Heading 1 Char"/>
    <w:basedOn w:val="DefaultParagraphFont"/>
    <w:link w:val="Heading1"/>
    <w:uiPriority w:val="9"/>
    <w:rsid w:val="00F43F2E"/>
    <w:rPr>
      <w:rFonts w:asciiTheme="majorHAnsi" w:eastAsiaTheme="majorEastAsia" w:hAnsiTheme="majorHAnsi" w:cstheme="majorBidi"/>
      <w:b/>
      <w:bCs/>
      <w:iCs/>
      <w:caps/>
      <w:sz w:val="24"/>
      <w:szCs w:val="32"/>
    </w:rPr>
  </w:style>
  <w:style w:type="character" w:customStyle="1" w:styleId="Heading2Char">
    <w:name w:val="Heading 2 Char"/>
    <w:basedOn w:val="DefaultParagraphFont"/>
    <w:link w:val="Heading2"/>
    <w:uiPriority w:val="9"/>
    <w:rsid w:val="00C86E72"/>
    <w:rPr>
      <w:rFonts w:asciiTheme="majorHAnsi" w:eastAsiaTheme="majorEastAsia" w:hAnsiTheme="majorHAnsi" w:cstheme="majorBidi"/>
      <w:b/>
      <w:bCs/>
      <w:i/>
      <w:iCs/>
      <w:sz w:val="24"/>
      <w:szCs w:val="28"/>
    </w:rPr>
  </w:style>
  <w:style w:type="character" w:customStyle="1" w:styleId="Heading3Char">
    <w:name w:val="Heading 3 Char"/>
    <w:basedOn w:val="DefaultParagraphFont"/>
    <w:link w:val="Heading3"/>
    <w:uiPriority w:val="9"/>
    <w:semiHidden/>
    <w:rsid w:val="00FE1AA0"/>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FE1AA0"/>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FE1AA0"/>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FE1AA0"/>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FE1AA0"/>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FE1AA0"/>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FE1AA0"/>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FE1AA0"/>
    <w:rPr>
      <w:b/>
      <w:bCs/>
      <w:sz w:val="18"/>
      <w:szCs w:val="18"/>
    </w:rPr>
  </w:style>
  <w:style w:type="paragraph" w:styleId="Subtitle">
    <w:name w:val="Subtitle"/>
    <w:basedOn w:val="Normal"/>
    <w:next w:val="Normal"/>
    <w:link w:val="SubtitleChar"/>
    <w:uiPriority w:val="11"/>
    <w:qFormat/>
    <w:rsid w:val="00FE1AA0"/>
    <w:pPr>
      <w:spacing w:after="320"/>
      <w:jc w:val="right"/>
    </w:pPr>
    <w:rPr>
      <w:i/>
      <w:iCs/>
      <w:color w:val="808080" w:themeColor="text1" w:themeTint="7F"/>
      <w:spacing w:val="10"/>
      <w:szCs w:val="24"/>
    </w:rPr>
  </w:style>
  <w:style w:type="character" w:customStyle="1" w:styleId="SubtitleChar">
    <w:name w:val="Subtitle Char"/>
    <w:basedOn w:val="DefaultParagraphFont"/>
    <w:link w:val="Subtitle"/>
    <w:uiPriority w:val="11"/>
    <w:rsid w:val="00FE1AA0"/>
    <w:rPr>
      <w:i/>
      <w:iCs/>
      <w:color w:val="808080" w:themeColor="text1" w:themeTint="7F"/>
      <w:spacing w:val="10"/>
      <w:sz w:val="24"/>
      <w:szCs w:val="24"/>
    </w:rPr>
  </w:style>
  <w:style w:type="character" w:styleId="Strong">
    <w:name w:val="Strong"/>
    <w:basedOn w:val="DefaultParagraphFont"/>
    <w:uiPriority w:val="22"/>
    <w:qFormat/>
    <w:rsid w:val="00FE1AA0"/>
    <w:rPr>
      <w:b/>
      <w:bCs/>
      <w:spacing w:val="0"/>
    </w:rPr>
  </w:style>
  <w:style w:type="character" w:styleId="Emphasis">
    <w:name w:val="Emphasis"/>
    <w:uiPriority w:val="20"/>
    <w:qFormat/>
    <w:rsid w:val="00FE1AA0"/>
    <w:rPr>
      <w:b/>
      <w:bCs/>
      <w:i/>
      <w:iCs/>
      <w:color w:val="auto"/>
    </w:rPr>
  </w:style>
  <w:style w:type="paragraph" w:styleId="NoSpacing">
    <w:name w:val="No Spacing"/>
    <w:basedOn w:val="Normal"/>
    <w:link w:val="NoSpacingChar"/>
    <w:uiPriority w:val="1"/>
    <w:qFormat/>
    <w:rsid w:val="00FE1AA0"/>
    <w:pPr>
      <w:spacing w:after="0" w:line="240" w:lineRule="auto"/>
      <w:ind w:firstLine="0"/>
    </w:pPr>
  </w:style>
  <w:style w:type="paragraph" w:styleId="ListParagraph">
    <w:name w:val="List Paragraph"/>
    <w:basedOn w:val="Normal"/>
    <w:uiPriority w:val="34"/>
    <w:qFormat/>
    <w:rsid w:val="00FE1AA0"/>
    <w:pPr>
      <w:ind w:left="720"/>
      <w:contextualSpacing/>
    </w:pPr>
  </w:style>
  <w:style w:type="paragraph" w:styleId="Quote">
    <w:name w:val="Quote"/>
    <w:basedOn w:val="Normal"/>
    <w:next w:val="Normal"/>
    <w:link w:val="QuoteChar"/>
    <w:uiPriority w:val="29"/>
    <w:qFormat/>
    <w:rsid w:val="00FE1AA0"/>
    <w:rPr>
      <w:color w:val="5A5A5A" w:themeColor="text1" w:themeTint="A5"/>
    </w:rPr>
  </w:style>
  <w:style w:type="character" w:customStyle="1" w:styleId="QuoteChar">
    <w:name w:val="Quote Char"/>
    <w:basedOn w:val="DefaultParagraphFont"/>
    <w:link w:val="Quote"/>
    <w:uiPriority w:val="29"/>
    <w:rsid w:val="00FE1AA0"/>
    <w:rPr>
      <w:color w:val="5A5A5A" w:themeColor="text1" w:themeTint="A5"/>
    </w:rPr>
  </w:style>
  <w:style w:type="paragraph" w:styleId="IntenseQuote">
    <w:name w:val="Intense Quote"/>
    <w:basedOn w:val="Normal"/>
    <w:next w:val="Normal"/>
    <w:link w:val="IntenseQuoteChar"/>
    <w:uiPriority w:val="30"/>
    <w:qFormat/>
    <w:rsid w:val="00FE1AA0"/>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FE1AA0"/>
    <w:rPr>
      <w:rFonts w:asciiTheme="majorHAnsi" w:eastAsiaTheme="majorEastAsia" w:hAnsiTheme="majorHAnsi" w:cstheme="majorBidi"/>
      <w:i/>
      <w:iCs/>
      <w:sz w:val="20"/>
      <w:szCs w:val="20"/>
    </w:rPr>
  </w:style>
  <w:style w:type="character" w:styleId="SubtleEmphasis">
    <w:name w:val="Subtle Emphasis"/>
    <w:uiPriority w:val="19"/>
    <w:qFormat/>
    <w:rsid w:val="00FE1AA0"/>
    <w:rPr>
      <w:i/>
      <w:iCs/>
      <w:color w:val="5A5A5A" w:themeColor="text1" w:themeTint="A5"/>
    </w:rPr>
  </w:style>
  <w:style w:type="character" w:styleId="IntenseEmphasis">
    <w:name w:val="Intense Emphasis"/>
    <w:uiPriority w:val="21"/>
    <w:qFormat/>
    <w:rsid w:val="00FE1AA0"/>
    <w:rPr>
      <w:b/>
      <w:bCs/>
      <w:i/>
      <w:iCs/>
      <w:color w:val="auto"/>
      <w:u w:val="single"/>
    </w:rPr>
  </w:style>
  <w:style w:type="character" w:styleId="SubtleReference">
    <w:name w:val="Subtle Reference"/>
    <w:uiPriority w:val="31"/>
    <w:qFormat/>
    <w:rsid w:val="00FE1AA0"/>
    <w:rPr>
      <w:smallCaps/>
    </w:rPr>
  </w:style>
  <w:style w:type="character" w:styleId="IntenseReference">
    <w:name w:val="Intense Reference"/>
    <w:uiPriority w:val="32"/>
    <w:qFormat/>
    <w:rsid w:val="00FE1AA0"/>
    <w:rPr>
      <w:b/>
      <w:bCs/>
      <w:smallCaps/>
      <w:color w:val="auto"/>
    </w:rPr>
  </w:style>
  <w:style w:type="character" w:styleId="BookTitle">
    <w:name w:val="Book Title"/>
    <w:uiPriority w:val="33"/>
    <w:qFormat/>
    <w:rsid w:val="00FE1AA0"/>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unhideWhenUsed/>
    <w:qFormat/>
    <w:rsid w:val="00FE1AA0"/>
    <w:pPr>
      <w:outlineLvl w:val="9"/>
    </w:pPr>
    <w:rPr>
      <w:lang w:bidi="en-US"/>
    </w:rPr>
  </w:style>
  <w:style w:type="character" w:customStyle="1" w:styleId="NoSpacingChar">
    <w:name w:val="No Spacing Char"/>
    <w:basedOn w:val="DefaultParagraphFont"/>
    <w:link w:val="NoSpacing"/>
    <w:uiPriority w:val="1"/>
    <w:rsid w:val="00CD3379"/>
  </w:style>
  <w:style w:type="paragraph" w:styleId="Header">
    <w:name w:val="header"/>
    <w:basedOn w:val="Normal"/>
    <w:link w:val="HeaderChar"/>
    <w:uiPriority w:val="99"/>
    <w:unhideWhenUsed/>
    <w:rsid w:val="00CD3379"/>
    <w:pPr>
      <w:tabs>
        <w:tab w:val="center" w:pos="4819"/>
        <w:tab w:val="right" w:pos="9638"/>
      </w:tabs>
      <w:spacing w:after="0" w:line="240" w:lineRule="auto"/>
    </w:pPr>
  </w:style>
  <w:style w:type="character" w:customStyle="1" w:styleId="HeaderChar">
    <w:name w:val="Header Char"/>
    <w:basedOn w:val="DefaultParagraphFont"/>
    <w:link w:val="Header"/>
    <w:uiPriority w:val="99"/>
    <w:rsid w:val="00CD3379"/>
    <w:rPr>
      <w:sz w:val="20"/>
      <w:szCs w:val="20"/>
    </w:rPr>
  </w:style>
  <w:style w:type="character" w:styleId="PageNumber">
    <w:name w:val="page number"/>
    <w:basedOn w:val="DefaultParagraphFont"/>
    <w:uiPriority w:val="99"/>
    <w:semiHidden/>
    <w:unhideWhenUsed/>
    <w:rsid w:val="00CD3379"/>
  </w:style>
  <w:style w:type="paragraph" w:styleId="Bibliography">
    <w:name w:val="Bibliography"/>
    <w:basedOn w:val="Normal"/>
    <w:next w:val="Normal"/>
    <w:uiPriority w:val="37"/>
    <w:unhideWhenUsed/>
    <w:rsid w:val="00147AB8"/>
    <w:pPr>
      <w:tabs>
        <w:tab w:val="left" w:pos="260"/>
        <w:tab w:val="left" w:pos="380"/>
        <w:tab w:val="left" w:pos="500"/>
      </w:tabs>
      <w:spacing w:after="0"/>
      <w:ind w:left="264" w:hanging="264"/>
    </w:pPr>
  </w:style>
  <w:style w:type="table" w:styleId="TableGrid">
    <w:name w:val="Table Grid"/>
    <w:basedOn w:val="TableNormal"/>
    <w:uiPriority w:val="39"/>
    <w:rsid w:val="003F3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40E43"/>
    <w:rPr>
      <w:color w:val="739D9B" w:themeColor="followedHyperlink"/>
      <w:u w:val="single"/>
    </w:rPr>
  </w:style>
  <w:style w:type="paragraph" w:styleId="BalloonText">
    <w:name w:val="Balloon Text"/>
    <w:basedOn w:val="Normal"/>
    <w:link w:val="BalloonTextChar"/>
    <w:uiPriority w:val="99"/>
    <w:semiHidden/>
    <w:unhideWhenUsed/>
    <w:rsid w:val="00D3504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35049"/>
    <w:rPr>
      <w:rFonts w:ascii="Lucida Grande" w:hAnsi="Lucida Grande"/>
      <w:sz w:val="18"/>
      <w:szCs w:val="18"/>
    </w:rPr>
  </w:style>
  <w:style w:type="paragraph" w:styleId="Footer">
    <w:name w:val="footer"/>
    <w:basedOn w:val="Normal"/>
    <w:link w:val="FooterChar"/>
    <w:uiPriority w:val="99"/>
    <w:unhideWhenUsed/>
    <w:rsid w:val="00D350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5049"/>
    <w:rPr>
      <w:sz w:val="20"/>
      <w:szCs w:val="20"/>
    </w:rPr>
  </w:style>
  <w:style w:type="character" w:styleId="CommentReference">
    <w:name w:val="annotation reference"/>
    <w:basedOn w:val="DefaultParagraphFont"/>
    <w:uiPriority w:val="99"/>
    <w:semiHidden/>
    <w:unhideWhenUsed/>
    <w:rsid w:val="00880174"/>
    <w:rPr>
      <w:sz w:val="18"/>
      <w:szCs w:val="18"/>
    </w:rPr>
  </w:style>
  <w:style w:type="paragraph" w:styleId="CommentText">
    <w:name w:val="annotation text"/>
    <w:basedOn w:val="Normal"/>
    <w:link w:val="CommentTextChar"/>
    <w:uiPriority w:val="99"/>
    <w:unhideWhenUsed/>
    <w:rsid w:val="00880174"/>
    <w:pPr>
      <w:spacing w:line="240" w:lineRule="auto"/>
    </w:pPr>
    <w:rPr>
      <w:szCs w:val="24"/>
    </w:rPr>
  </w:style>
  <w:style w:type="character" w:customStyle="1" w:styleId="CommentTextChar">
    <w:name w:val="Comment Text Char"/>
    <w:basedOn w:val="DefaultParagraphFont"/>
    <w:link w:val="CommentText"/>
    <w:uiPriority w:val="99"/>
    <w:rsid w:val="00880174"/>
    <w:rPr>
      <w:sz w:val="24"/>
      <w:szCs w:val="24"/>
    </w:rPr>
  </w:style>
  <w:style w:type="paragraph" w:styleId="CommentSubject">
    <w:name w:val="annotation subject"/>
    <w:basedOn w:val="CommentText"/>
    <w:next w:val="CommentText"/>
    <w:link w:val="CommentSubjectChar"/>
    <w:uiPriority w:val="99"/>
    <w:semiHidden/>
    <w:unhideWhenUsed/>
    <w:rsid w:val="00880174"/>
    <w:rPr>
      <w:b/>
      <w:bCs/>
      <w:sz w:val="20"/>
      <w:szCs w:val="20"/>
    </w:rPr>
  </w:style>
  <w:style w:type="character" w:customStyle="1" w:styleId="CommentSubjectChar">
    <w:name w:val="Comment Subject Char"/>
    <w:basedOn w:val="CommentTextChar"/>
    <w:link w:val="CommentSubject"/>
    <w:uiPriority w:val="99"/>
    <w:semiHidden/>
    <w:rsid w:val="00880174"/>
    <w:rPr>
      <w:b/>
      <w:bCs/>
      <w:sz w:val="20"/>
      <w:szCs w:val="20"/>
    </w:rPr>
  </w:style>
  <w:style w:type="paragraph" w:styleId="Revision">
    <w:name w:val="Revision"/>
    <w:hidden/>
    <w:uiPriority w:val="99"/>
    <w:semiHidden/>
    <w:rsid w:val="00880174"/>
    <w:pPr>
      <w:spacing w:after="0" w:line="240" w:lineRule="auto"/>
    </w:pPr>
    <w:rPr>
      <w:sz w:val="20"/>
      <w:szCs w:val="20"/>
    </w:rPr>
  </w:style>
  <w:style w:type="paragraph" w:styleId="DocumentMap">
    <w:name w:val="Document Map"/>
    <w:basedOn w:val="Normal"/>
    <w:link w:val="DocumentMapChar"/>
    <w:uiPriority w:val="99"/>
    <w:semiHidden/>
    <w:unhideWhenUsed/>
    <w:rsid w:val="00477B40"/>
    <w:pPr>
      <w:spacing w:after="0" w:line="240" w:lineRule="auto"/>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477B40"/>
    <w:rPr>
      <w:rFonts w:ascii="Times New Roman" w:hAnsi="Times New Roman" w:cs="Times New Roman"/>
      <w:sz w:val="24"/>
      <w:szCs w:val="24"/>
    </w:rPr>
  </w:style>
  <w:style w:type="paragraph" w:customStyle="1" w:styleId="Body">
    <w:name w:val="Body"/>
    <w:rsid w:val="002F1535"/>
    <w:pPr>
      <w:pBdr>
        <w:top w:val="nil"/>
        <w:left w:val="nil"/>
        <w:bottom w:val="nil"/>
        <w:right w:val="nil"/>
        <w:between w:val="nil"/>
        <w:bar w:val="nil"/>
      </w:pBdr>
      <w:jc w:val="both"/>
    </w:pPr>
    <w:rPr>
      <w:rFonts w:ascii="Arial" w:eastAsia="Arial Unicode MS" w:hAnsi="Arial" w:cs="Arial Unicode MS"/>
      <w:color w:val="000000"/>
      <w:sz w:val="24"/>
      <w:szCs w:val="24"/>
      <w:u w:color="000000"/>
      <w:bdr w:val="nil"/>
      <w:lang w:eastAsia="it-IT"/>
    </w:rPr>
  </w:style>
  <w:style w:type="paragraph" w:customStyle="1" w:styleId="Heading">
    <w:name w:val="Heading"/>
    <w:next w:val="Body"/>
    <w:rsid w:val="002F1535"/>
    <w:pPr>
      <w:pBdr>
        <w:top w:val="nil"/>
        <w:left w:val="nil"/>
        <w:bottom w:val="nil"/>
        <w:right w:val="nil"/>
        <w:between w:val="nil"/>
        <w:bar w:val="nil"/>
      </w:pBdr>
      <w:spacing w:before="600" w:after="0" w:line="360" w:lineRule="auto"/>
      <w:ind w:firstLine="0"/>
      <w:jc w:val="both"/>
      <w:outlineLvl w:val="0"/>
    </w:pPr>
    <w:rPr>
      <w:rFonts w:ascii="Arial" w:eastAsia="Arial Unicode MS" w:hAnsi="Arial" w:cs="Arial Unicode MS"/>
      <w:b/>
      <w:bCs/>
      <w:caps/>
      <w:color w:val="000000"/>
      <w:sz w:val="24"/>
      <w:szCs w:val="24"/>
      <w:u w:color="000000"/>
      <w:bdr w:val="nil"/>
      <w:lang w:eastAsia="it-IT"/>
    </w:rPr>
  </w:style>
  <w:style w:type="character" w:styleId="LineNumber">
    <w:name w:val="line number"/>
    <w:basedOn w:val="DefaultParagraphFont"/>
    <w:uiPriority w:val="99"/>
    <w:semiHidden/>
    <w:unhideWhenUsed/>
    <w:rsid w:val="003F23CE"/>
  </w:style>
  <w:style w:type="character" w:styleId="PlaceholderText">
    <w:name w:val="Placeholder Text"/>
    <w:basedOn w:val="DefaultParagraphFont"/>
    <w:uiPriority w:val="99"/>
    <w:semiHidden/>
    <w:rsid w:val="002B3B48"/>
    <w:rPr>
      <w:color w:val="808080"/>
    </w:rPr>
  </w:style>
  <w:style w:type="paragraph" w:styleId="TOC1">
    <w:name w:val="toc 1"/>
    <w:basedOn w:val="Normal"/>
    <w:next w:val="Normal"/>
    <w:autoRedefine/>
    <w:uiPriority w:val="39"/>
    <w:unhideWhenUsed/>
    <w:rsid w:val="00057E98"/>
    <w:pPr>
      <w:tabs>
        <w:tab w:val="right" w:leader="dot" w:pos="9054"/>
      </w:tabs>
      <w:spacing w:before="120" w:after="0" w:line="360" w:lineRule="auto"/>
      <w:jc w:val="left"/>
    </w:pPr>
    <w:rPr>
      <w:rFonts w:cstheme="minorHAnsi"/>
      <w:b/>
      <w:bCs/>
      <w:i/>
      <w:iCs/>
      <w:szCs w:val="24"/>
    </w:rPr>
  </w:style>
  <w:style w:type="paragraph" w:styleId="TOC2">
    <w:name w:val="toc 2"/>
    <w:basedOn w:val="Normal"/>
    <w:next w:val="Normal"/>
    <w:autoRedefine/>
    <w:uiPriority w:val="39"/>
    <w:unhideWhenUsed/>
    <w:rsid w:val="00361541"/>
    <w:pPr>
      <w:tabs>
        <w:tab w:val="right" w:leader="dot" w:pos="9054"/>
      </w:tabs>
      <w:spacing w:before="120" w:after="0" w:line="360" w:lineRule="auto"/>
      <w:ind w:left="240"/>
      <w:jc w:val="left"/>
    </w:pPr>
    <w:rPr>
      <w:rFonts w:cstheme="minorHAnsi"/>
      <w:i/>
      <w:iCs/>
      <w:noProof/>
      <w:sz w:val="20"/>
      <w:szCs w:val="20"/>
    </w:rPr>
  </w:style>
  <w:style w:type="paragraph" w:styleId="TOC3">
    <w:name w:val="toc 3"/>
    <w:basedOn w:val="Normal"/>
    <w:next w:val="Normal"/>
    <w:autoRedefine/>
    <w:uiPriority w:val="39"/>
    <w:semiHidden/>
    <w:unhideWhenUsed/>
    <w:rsid w:val="00AA585C"/>
    <w:pPr>
      <w:spacing w:after="0"/>
      <w:ind w:left="480"/>
      <w:jc w:val="left"/>
    </w:pPr>
    <w:rPr>
      <w:rFonts w:cstheme="minorHAnsi"/>
      <w:sz w:val="20"/>
      <w:szCs w:val="20"/>
    </w:rPr>
  </w:style>
  <w:style w:type="paragraph" w:styleId="TOC4">
    <w:name w:val="toc 4"/>
    <w:basedOn w:val="Normal"/>
    <w:next w:val="Normal"/>
    <w:autoRedefine/>
    <w:uiPriority w:val="39"/>
    <w:semiHidden/>
    <w:unhideWhenUsed/>
    <w:rsid w:val="00AA585C"/>
    <w:pPr>
      <w:spacing w:after="0"/>
      <w:ind w:left="720"/>
      <w:jc w:val="left"/>
    </w:pPr>
    <w:rPr>
      <w:rFonts w:cstheme="minorHAnsi"/>
      <w:sz w:val="20"/>
      <w:szCs w:val="20"/>
    </w:rPr>
  </w:style>
  <w:style w:type="paragraph" w:styleId="TOC5">
    <w:name w:val="toc 5"/>
    <w:basedOn w:val="Normal"/>
    <w:next w:val="Normal"/>
    <w:autoRedefine/>
    <w:uiPriority w:val="39"/>
    <w:semiHidden/>
    <w:unhideWhenUsed/>
    <w:rsid w:val="00AA585C"/>
    <w:pPr>
      <w:spacing w:after="0"/>
      <w:ind w:left="960"/>
      <w:jc w:val="left"/>
    </w:pPr>
    <w:rPr>
      <w:rFonts w:cstheme="minorHAnsi"/>
      <w:sz w:val="20"/>
      <w:szCs w:val="20"/>
    </w:rPr>
  </w:style>
  <w:style w:type="paragraph" w:styleId="TOC6">
    <w:name w:val="toc 6"/>
    <w:basedOn w:val="Normal"/>
    <w:next w:val="Normal"/>
    <w:autoRedefine/>
    <w:uiPriority w:val="39"/>
    <w:semiHidden/>
    <w:unhideWhenUsed/>
    <w:rsid w:val="00AA585C"/>
    <w:pPr>
      <w:spacing w:after="0"/>
      <w:ind w:left="1200"/>
      <w:jc w:val="left"/>
    </w:pPr>
    <w:rPr>
      <w:rFonts w:cstheme="minorHAnsi"/>
      <w:sz w:val="20"/>
      <w:szCs w:val="20"/>
    </w:rPr>
  </w:style>
  <w:style w:type="paragraph" w:styleId="TOC7">
    <w:name w:val="toc 7"/>
    <w:basedOn w:val="Normal"/>
    <w:next w:val="Normal"/>
    <w:autoRedefine/>
    <w:uiPriority w:val="39"/>
    <w:semiHidden/>
    <w:unhideWhenUsed/>
    <w:rsid w:val="00AA585C"/>
    <w:pPr>
      <w:spacing w:after="0"/>
      <w:ind w:left="1440"/>
      <w:jc w:val="left"/>
    </w:pPr>
    <w:rPr>
      <w:rFonts w:cstheme="minorHAnsi"/>
      <w:sz w:val="20"/>
      <w:szCs w:val="20"/>
    </w:rPr>
  </w:style>
  <w:style w:type="paragraph" w:styleId="TOC8">
    <w:name w:val="toc 8"/>
    <w:basedOn w:val="Normal"/>
    <w:next w:val="Normal"/>
    <w:autoRedefine/>
    <w:uiPriority w:val="39"/>
    <w:semiHidden/>
    <w:unhideWhenUsed/>
    <w:rsid w:val="00AA585C"/>
    <w:pPr>
      <w:spacing w:after="0"/>
      <w:ind w:left="1680"/>
      <w:jc w:val="left"/>
    </w:pPr>
    <w:rPr>
      <w:rFonts w:cstheme="minorHAnsi"/>
      <w:sz w:val="20"/>
      <w:szCs w:val="20"/>
    </w:rPr>
  </w:style>
  <w:style w:type="paragraph" w:styleId="TOC9">
    <w:name w:val="toc 9"/>
    <w:basedOn w:val="Normal"/>
    <w:next w:val="Normal"/>
    <w:autoRedefine/>
    <w:uiPriority w:val="39"/>
    <w:semiHidden/>
    <w:unhideWhenUsed/>
    <w:rsid w:val="00AA585C"/>
    <w:pPr>
      <w:spacing w:after="0"/>
      <w:ind w:left="1920"/>
      <w:jc w:val="left"/>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76156">
      <w:bodyDiv w:val="1"/>
      <w:marLeft w:val="0"/>
      <w:marRight w:val="0"/>
      <w:marTop w:val="0"/>
      <w:marBottom w:val="0"/>
      <w:divBdr>
        <w:top w:val="none" w:sz="0" w:space="0" w:color="auto"/>
        <w:left w:val="none" w:sz="0" w:space="0" w:color="auto"/>
        <w:bottom w:val="none" w:sz="0" w:space="0" w:color="auto"/>
        <w:right w:val="none" w:sz="0" w:space="0" w:color="auto"/>
      </w:divBdr>
    </w:div>
    <w:div w:id="862859622">
      <w:bodyDiv w:val="1"/>
      <w:marLeft w:val="0"/>
      <w:marRight w:val="0"/>
      <w:marTop w:val="0"/>
      <w:marBottom w:val="0"/>
      <w:divBdr>
        <w:top w:val="none" w:sz="0" w:space="0" w:color="auto"/>
        <w:left w:val="none" w:sz="0" w:space="0" w:color="auto"/>
        <w:bottom w:val="none" w:sz="0" w:space="0" w:color="auto"/>
        <w:right w:val="none" w:sz="0" w:space="0" w:color="auto"/>
      </w:divBdr>
    </w:div>
    <w:div w:id="1237129373">
      <w:bodyDiv w:val="1"/>
      <w:marLeft w:val="0"/>
      <w:marRight w:val="0"/>
      <w:marTop w:val="0"/>
      <w:marBottom w:val="0"/>
      <w:divBdr>
        <w:top w:val="none" w:sz="0" w:space="0" w:color="auto"/>
        <w:left w:val="none" w:sz="0" w:space="0" w:color="auto"/>
        <w:bottom w:val="none" w:sz="0" w:space="0" w:color="auto"/>
        <w:right w:val="none" w:sz="0" w:space="0" w:color="auto"/>
      </w:divBdr>
    </w:div>
    <w:div w:id="15785877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0C1EA0A-271A-416D-A714-97145A638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1680</Words>
  <Characters>9579</Characters>
  <Application>Microsoft Office Word</Application>
  <DocSecurity>0</DocSecurity>
  <Lines>79</Lines>
  <Paragraphs>22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Academisch Medisch Centrum</Company>
  <LinksUpToDate>false</LinksUpToDate>
  <CharactersWithSpaces>11237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Ball</dc:creator>
  <cp:keywords/>
  <dc:description/>
  <cp:lastModifiedBy>Femina P.</cp:lastModifiedBy>
  <cp:revision>15</cp:revision>
  <dcterms:created xsi:type="dcterms:W3CDTF">2021-02-25T15:51:00Z</dcterms:created>
  <dcterms:modified xsi:type="dcterms:W3CDTF">2021-05-20T10:08:00Z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id="lz6Vh0af"/&gt;&lt;style id="http://www.zotero.org/styles/american-journal-of-respiratory-and-critical-care-medicine" hasBibliography="1" bibliographyStyleHasBeenSet="1"/&gt;&lt;prefs&gt;&lt;pref name="fieldType" v</vt:lpwstr>
  </property>
  <property fmtid="{D5CDD505-2E9C-101B-9397-08002B2CF9AE}" pid="3" name="ZOTERO_PREF_2">
    <vt:lpwstr>alue="Field"/&gt;&lt;pref name="automaticJournalAbbreviations" value="true"/&gt;&lt;/prefs&gt;&lt;/data&gt;</vt:lpwstr>
  </property>
</Properties>
</file>