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074FE" w14:textId="28ADD468" w:rsidR="00DA0E55" w:rsidRPr="00B91686" w:rsidRDefault="008C39D5" w:rsidP="00B91686">
      <w:pPr>
        <w:spacing w:line="480" w:lineRule="auto"/>
        <w:rPr>
          <w:rFonts w:cstheme="minorHAnsi"/>
          <w:b/>
          <w:bCs/>
          <w:sz w:val="22"/>
          <w:szCs w:val="22"/>
        </w:rPr>
      </w:pPr>
      <w:r w:rsidRPr="00B91686">
        <w:rPr>
          <w:rFonts w:cstheme="minorHAnsi"/>
          <w:b/>
          <w:bCs/>
          <w:sz w:val="22"/>
          <w:szCs w:val="22"/>
        </w:rPr>
        <w:t>Supplemental Methods</w:t>
      </w:r>
    </w:p>
    <w:p w14:paraId="2FBA5D4B" w14:textId="6549ADA4" w:rsidR="008C39D5" w:rsidRPr="00B91686" w:rsidRDefault="008C39D5" w:rsidP="00B91686">
      <w:pPr>
        <w:spacing w:line="480" w:lineRule="auto"/>
        <w:rPr>
          <w:rFonts w:cstheme="minorHAnsi"/>
          <w:sz w:val="22"/>
          <w:szCs w:val="22"/>
        </w:rPr>
      </w:pPr>
    </w:p>
    <w:p w14:paraId="56974B53" w14:textId="7A0B25E2" w:rsidR="008C39D5" w:rsidRPr="00B91686" w:rsidRDefault="008C39D5" w:rsidP="00B91686">
      <w:pPr>
        <w:spacing w:line="480" w:lineRule="auto"/>
        <w:rPr>
          <w:rFonts w:cstheme="minorHAnsi"/>
          <w:b/>
          <w:bCs/>
          <w:sz w:val="22"/>
          <w:szCs w:val="22"/>
        </w:rPr>
      </w:pPr>
      <w:r w:rsidRPr="00B91686">
        <w:rPr>
          <w:rFonts w:cstheme="minorHAnsi"/>
          <w:b/>
          <w:bCs/>
          <w:sz w:val="22"/>
          <w:szCs w:val="22"/>
        </w:rPr>
        <w:t>BALI and R</w:t>
      </w:r>
      <w:r w:rsidR="00FB1835" w:rsidRPr="00B91686">
        <w:rPr>
          <w:rFonts w:cstheme="minorHAnsi"/>
          <w:b/>
          <w:bCs/>
          <w:sz w:val="22"/>
          <w:szCs w:val="22"/>
        </w:rPr>
        <w:t>ESTORE</w:t>
      </w:r>
      <w:r w:rsidRPr="00B91686">
        <w:rPr>
          <w:rFonts w:cstheme="minorHAnsi"/>
          <w:b/>
          <w:bCs/>
          <w:sz w:val="22"/>
          <w:szCs w:val="22"/>
        </w:rPr>
        <w:t xml:space="preserve"> Trials</w:t>
      </w:r>
    </w:p>
    <w:p w14:paraId="773F744B" w14:textId="75240DBD" w:rsidR="008C39D5" w:rsidRPr="00B91686" w:rsidRDefault="008C39D5" w:rsidP="00B91686">
      <w:pPr>
        <w:spacing w:line="480" w:lineRule="auto"/>
        <w:rPr>
          <w:rFonts w:cstheme="minorHAnsi"/>
          <w:sz w:val="22"/>
          <w:szCs w:val="22"/>
        </w:rPr>
      </w:pPr>
      <w:r w:rsidRPr="00B91686">
        <w:rPr>
          <w:rFonts w:cstheme="minorHAnsi"/>
          <w:sz w:val="22"/>
          <w:szCs w:val="22"/>
        </w:rPr>
        <w:t xml:space="preserve">The </w:t>
      </w:r>
      <w:r w:rsidRPr="00B91686">
        <w:rPr>
          <w:rFonts w:cstheme="minorHAnsi"/>
          <w:i/>
          <w:iCs/>
          <w:sz w:val="22"/>
          <w:szCs w:val="22"/>
        </w:rPr>
        <w:t xml:space="preserve">BALI </w:t>
      </w:r>
      <w:r w:rsidRPr="00B91686">
        <w:rPr>
          <w:rFonts w:cstheme="minorHAnsi"/>
          <w:sz w:val="22"/>
          <w:szCs w:val="22"/>
        </w:rPr>
        <w:t>study</w:t>
      </w:r>
      <w:r w:rsidRPr="00B91686">
        <w:rPr>
          <w:rFonts w:cstheme="minorHAnsi"/>
          <w:i/>
          <w:iCs/>
          <w:sz w:val="22"/>
          <w:szCs w:val="22"/>
        </w:rPr>
        <w:t xml:space="preserve"> </w:t>
      </w:r>
      <w:r w:rsidRPr="00B91686">
        <w:rPr>
          <w:rFonts w:cstheme="minorHAnsi"/>
          <w:sz w:val="22"/>
          <w:szCs w:val="22"/>
        </w:rPr>
        <w:t xml:space="preserve">was designed to collect biological specimens to examine the association of specific plasma protein (including </w:t>
      </w:r>
      <w:proofErr w:type="spellStart"/>
      <w:r w:rsidRPr="00B91686">
        <w:rPr>
          <w:rFonts w:cstheme="minorHAnsi"/>
          <w:sz w:val="22"/>
          <w:szCs w:val="22"/>
        </w:rPr>
        <w:t>sTM</w:t>
      </w:r>
      <w:proofErr w:type="spellEnd"/>
      <w:r w:rsidRPr="00B91686">
        <w:rPr>
          <w:rFonts w:cstheme="minorHAnsi"/>
          <w:sz w:val="22"/>
          <w:szCs w:val="22"/>
        </w:rPr>
        <w:t xml:space="preserve">) and genetic biomarkers with PARDS. Guardians for patients were approached for consent for </w:t>
      </w:r>
      <w:r w:rsidRPr="00B91686">
        <w:rPr>
          <w:rFonts w:cstheme="minorHAnsi"/>
          <w:i/>
          <w:sz w:val="22"/>
          <w:szCs w:val="22"/>
        </w:rPr>
        <w:t>RESTORE</w:t>
      </w:r>
      <w:r w:rsidRPr="00B91686">
        <w:rPr>
          <w:rFonts w:cstheme="minorHAnsi"/>
          <w:sz w:val="22"/>
          <w:szCs w:val="22"/>
        </w:rPr>
        <w:t xml:space="preserve"> within 24 h of meeting </w:t>
      </w:r>
      <w:r w:rsidRPr="00B91686">
        <w:rPr>
          <w:rFonts w:cstheme="minorHAnsi"/>
          <w:i/>
          <w:sz w:val="22"/>
          <w:szCs w:val="22"/>
        </w:rPr>
        <w:t>RESTORE</w:t>
      </w:r>
      <w:r w:rsidRPr="00B91686">
        <w:rPr>
          <w:rFonts w:cstheme="minorHAnsi"/>
          <w:sz w:val="22"/>
          <w:szCs w:val="22"/>
        </w:rPr>
        <w:t xml:space="preserve"> study criteria and were approached for consent for participation in </w:t>
      </w:r>
      <w:r w:rsidRPr="00B91686">
        <w:rPr>
          <w:rFonts w:cstheme="minorHAnsi"/>
          <w:i/>
          <w:sz w:val="22"/>
          <w:szCs w:val="22"/>
        </w:rPr>
        <w:t>BALI</w:t>
      </w:r>
      <w:r w:rsidRPr="00B91686">
        <w:rPr>
          <w:rFonts w:cstheme="minorHAnsi"/>
          <w:sz w:val="22"/>
          <w:szCs w:val="22"/>
        </w:rPr>
        <w:t xml:space="preserve"> as soon as possible after consenting for </w:t>
      </w:r>
      <w:r w:rsidRPr="00B91686">
        <w:rPr>
          <w:rFonts w:cstheme="minorHAnsi"/>
          <w:i/>
          <w:sz w:val="22"/>
          <w:szCs w:val="22"/>
        </w:rPr>
        <w:t>RESTORE</w:t>
      </w:r>
      <w:r w:rsidRPr="00B91686">
        <w:rPr>
          <w:rFonts w:cstheme="minorHAnsi"/>
          <w:sz w:val="22"/>
          <w:szCs w:val="22"/>
        </w:rPr>
        <w:t xml:space="preserve"> (often immediately afterwards). Twenty-two of the 31 pediatric intensive care units (</w:t>
      </w:r>
      <w:proofErr w:type="spellStart"/>
      <w:r w:rsidRPr="00B91686">
        <w:rPr>
          <w:rFonts w:cstheme="minorHAnsi"/>
          <w:sz w:val="22"/>
          <w:szCs w:val="22"/>
        </w:rPr>
        <w:t>PICUs</w:t>
      </w:r>
      <w:proofErr w:type="spellEnd"/>
      <w:r w:rsidRPr="00B91686">
        <w:rPr>
          <w:rFonts w:cstheme="minorHAnsi"/>
          <w:sz w:val="22"/>
          <w:szCs w:val="22"/>
        </w:rPr>
        <w:t xml:space="preserve">) participating in </w:t>
      </w:r>
      <w:r w:rsidRPr="00B91686">
        <w:rPr>
          <w:rFonts w:cstheme="minorHAnsi"/>
          <w:i/>
          <w:sz w:val="22"/>
          <w:szCs w:val="22"/>
        </w:rPr>
        <w:t>RESTORE</w:t>
      </w:r>
      <w:r w:rsidRPr="00B91686">
        <w:rPr>
          <w:rFonts w:cstheme="minorHAnsi"/>
          <w:sz w:val="22"/>
          <w:szCs w:val="22"/>
        </w:rPr>
        <w:t xml:space="preserve"> also participated in </w:t>
      </w:r>
      <w:r w:rsidRPr="00B91686">
        <w:rPr>
          <w:rFonts w:cstheme="minorHAnsi"/>
          <w:i/>
          <w:sz w:val="22"/>
          <w:szCs w:val="22"/>
        </w:rPr>
        <w:t>BALI</w:t>
      </w:r>
      <w:r w:rsidRPr="00B91686">
        <w:rPr>
          <w:rFonts w:cstheme="minorHAnsi"/>
          <w:sz w:val="22"/>
          <w:szCs w:val="22"/>
        </w:rPr>
        <w:t xml:space="preserve">. In </w:t>
      </w:r>
      <w:r w:rsidRPr="00B91686">
        <w:rPr>
          <w:rFonts w:cstheme="minorHAnsi"/>
          <w:i/>
          <w:sz w:val="22"/>
          <w:szCs w:val="22"/>
        </w:rPr>
        <w:t>RESTORE</w:t>
      </w:r>
      <w:r w:rsidRPr="00B91686">
        <w:rPr>
          <w:rFonts w:cstheme="minorHAnsi"/>
          <w:sz w:val="22"/>
          <w:szCs w:val="22"/>
        </w:rPr>
        <w:t xml:space="preserve">, children 2 weeks to 17 years of age treated with invasive mechanical ventilation for acute airways and/or parenchymal lung disease were eligible. The </w:t>
      </w:r>
      <w:r w:rsidRPr="00B91686">
        <w:rPr>
          <w:rFonts w:cstheme="minorHAnsi"/>
          <w:i/>
          <w:sz w:val="22"/>
          <w:szCs w:val="22"/>
        </w:rPr>
        <w:t>RESTORE</w:t>
      </w:r>
      <w:r w:rsidRPr="00B91686">
        <w:rPr>
          <w:rFonts w:cstheme="minorHAnsi"/>
          <w:sz w:val="22"/>
          <w:szCs w:val="22"/>
        </w:rPr>
        <w:t xml:space="preserve"> study excluded children for whom the length of mechanical ventilation was unlikely to be altered by the sedation management protocol (i.e., children who were ventilator dependent on </w:t>
      </w:r>
      <w:proofErr w:type="spellStart"/>
      <w:r w:rsidRPr="00B91686">
        <w:rPr>
          <w:rFonts w:cstheme="minorHAnsi"/>
          <w:sz w:val="22"/>
          <w:szCs w:val="22"/>
        </w:rPr>
        <w:t>PICU</w:t>
      </w:r>
      <w:proofErr w:type="spellEnd"/>
      <w:r w:rsidRPr="00B91686">
        <w:rPr>
          <w:rFonts w:cstheme="minorHAnsi"/>
          <w:sz w:val="22"/>
          <w:szCs w:val="22"/>
        </w:rPr>
        <w:t xml:space="preserve"> admission or those expected to be extubated within 24 h).</w:t>
      </w:r>
      <w:r w:rsidRPr="00B91686">
        <w:rPr>
          <w:rFonts w:cstheme="minorHAnsi"/>
          <w:sz w:val="22"/>
          <w:szCs w:val="22"/>
        </w:rPr>
        <w:fldChar w:fldCharType="begin" w:fldLock="1"/>
      </w:r>
      <w:r w:rsidR="00B91686" w:rsidRPr="00B91686">
        <w:rPr>
          <w:rFonts w:cstheme="minorHAnsi"/>
          <w:sz w:val="22"/>
          <w:szCs w:val="22"/>
        </w:rPr>
        <w:instrText>ADDIN CSL_CITATION {"citationItems":[{"id":"ITEM-1","itemData":{"DOI":"10.1001/jama.2014.18399","ISSN":"0098-7484","abstract":"&lt;h3&gt;Importance&lt;/h3&gt;&lt;p&gt;Protocolized sedation improves clinical outcomes in critically ill adults, but its effect in children is unknown.&lt;/p&gt;&lt;h3&gt;Objective&lt;/h3&gt;&lt;p&gt;To determine whether critically ill children managed with a nurse-implemented, goal-directed sedation protocol experience fewer days of mechanical ventilation than patients receiving usual care.&lt;/p&gt;&lt;h3&gt;Design, Setting, and Participants&lt;/h3&gt;&lt;p&gt;Cluster randomized trial conducted in 31 US pediatric intensive care units (PICUs). A total of 2449 children (mean age, 4.7 years; range, 2 weeks to 17 years) mechanically ventilated for acute respiratory failure were enrolled in 2009-2013 and followed up until 72 hours after opioids were discontinued, 28 days, or hospital discharge.&lt;/p&gt;&lt;h3&gt;Intervention&lt;/h3&gt;&lt;p&gt;Intervention PICUs (17 sites; n = 1225 patients) used a protocol that included targeted sedation, arousal assessments, extubation readiness testing, sedation adjustment every 8 hours, and sedation weaning. Control PICUs (14 sites; n = 1224 patients) managed sedation per usual care.&lt;/p&gt;&lt;h3&gt;Main Outcomes and Measures&lt;/h3&gt;&lt;p&gt;The primary outcome was duration of mechanical ventilation. Secondary outcomes included time to recovery from acute respiratory failure, duration of weaning from mechanical ventilation, neurological testing, PICU and hospital lengths of stay, in-hospital mortality, sedation-related adverse events, measures of sedative exposure (wakefulness, pain, and agitation), and occurrence of iatrogenic withdrawal.&lt;/p&gt;&lt;h3&gt;Results&lt;/h3&gt;&lt;p&gt;Duration of mechanical ventilation was not different between the 2 groups (intervention: median, 6.5 [IQR, 4.1-11.2] days; control: median, 6.5 [IQR, 3.7-12.1] days). Sedation-related adverse events including inadequate pain and sedation management, clinically significant iatrogenic withdrawal, and unplanned endotracheal tube/invasive line removal were not significantly different between the 2 groups. Intervention patients experienced more postextubation stridor (7% vs 4%;&lt;i&gt;P&lt;/i&gt; = .03) and fewer stage 2 or worse immobility-related pressure ulcers (&amp;lt;1% vs 2%;&lt;i&gt;P&lt;/i&gt; = .001). In exploratory analyses, intervention patients had fewer days of opioid administration (median, 9 [IQR, 5-15] days vs 10 [IQR, 4-21] days;&lt;i&gt;P&lt;/i&gt; = .01), were exposed to fewer sedative classes (median, 2 [IQR, 2-3] classes vs 3 [IQR, 2-4] classes;&lt;i&gt;P&lt;/i&gt; &amp;lt; .001), and were more often awake and calm while intubated (median, 86% [IQR, 67%-100%] of days vs 75% [IQR, 50%-100%] of days;&lt;i&gt;P…","author":[{"dropping-particle":"","family":"Curley","given":"Martha A. Q.","non-dropping-particle":"","parse-names":false,"suffix":""},{"dropping-particle":"","family":"Wypij","given":"David","non-dropping-particle":"","parse-names":false,"suffix":""},{"dropping-particle":"","family":"Watson","given":"R. Scott","non-dropping-particle":"","parse-names":false,"suffix":""},{"dropping-particle":"","family":"Grant","given":"Mary Jo C.","non-dropping-particle":"","parse-names":false,"suffix":""},{"dropping-particle":"","family":"Asaro","given":"Lisa A.","non-dropping-particle":"","parse-names":false,"suffix":""},{"dropping-particle":"","family":"Cheifetz","given":"Ira M.","non-dropping-particle":"","parse-names":false,"suffix":""},{"dropping-particle":"","family":"Dodson","given":"Brenda L.","non-dropping-particle":"","parse-names":false,"suffix":""},{"dropping-particle":"","family":"Franck","given":"Linda S.","non-dropping-particle":"","parse-names":false,"suffix":""},{"dropping-particle":"","family":"Gedeit","given":"Rainer G.","non-dropping-particle":"","parse-names":false,"suffix":""},{"dropping-particle":"","family":"Angus","given":"Derek C.","non-dropping-particle":"","parse-names":false,"suffix":""},{"dropping-particle":"","family":"Matthay","given":"Michael A.","non-dropping-particle":"","parse-names":false,"suffix":""}],"container-title":"JAMA","id":"ITEM-1","issue":"4","issued":{"date-parts":[["2015","1","27"]]},"page":"379","publisher":"American Medical Association","title":"Protocolized Sedation vs Usual Care in Pediatric Patients Mechanically Ventilated for Acute Respiratory Failure","type":"article-journal","volume":"313"},"uris":["http://www.mendeley.com/documents/?uuid=43bc898a-7e9d-39a9-beea-05fcf3397097"]}],"mendeley":{"formattedCitation":"&lt;span style=\"baseline\"&gt;(&lt;span style=\"baseline\"&gt;1&lt;/span&gt;)&lt;/span&gt;","plainTextFormattedCitation":"(1)","previouslyFormattedCitation":"&lt;sup&gt;1&lt;/sup&gt;"},"properties":{"noteIndex":0},"schema":"https://github.com/citation-style-language/schema/raw/master/csl-citation.json"}</w:instrText>
      </w:r>
      <w:r w:rsidRPr="00B91686">
        <w:rPr>
          <w:rFonts w:cstheme="minorHAnsi"/>
          <w:sz w:val="22"/>
          <w:szCs w:val="22"/>
        </w:rPr>
        <w:fldChar w:fldCharType="separate"/>
      </w:r>
      <w:r w:rsidR="00B91686" w:rsidRPr="00B91686">
        <w:rPr>
          <w:rFonts w:cstheme="minorHAnsi"/>
          <w:noProof/>
          <w:sz w:val="22"/>
          <w:szCs w:val="22"/>
        </w:rPr>
        <w:t>(1)</w:t>
      </w:r>
      <w:r w:rsidRPr="00B91686">
        <w:rPr>
          <w:rFonts w:cstheme="minorHAnsi"/>
          <w:sz w:val="22"/>
          <w:szCs w:val="22"/>
        </w:rPr>
        <w:fldChar w:fldCharType="end"/>
      </w:r>
      <w:r w:rsidRPr="00B91686">
        <w:rPr>
          <w:rFonts w:cstheme="minorHAnsi"/>
          <w:sz w:val="22"/>
          <w:szCs w:val="22"/>
        </w:rPr>
        <w:t xml:space="preserve">  There were no additional inclusion or exclusion criteria for the </w:t>
      </w:r>
      <w:r w:rsidRPr="00B91686">
        <w:rPr>
          <w:rFonts w:cstheme="minorHAnsi"/>
          <w:i/>
          <w:sz w:val="22"/>
          <w:szCs w:val="22"/>
        </w:rPr>
        <w:t>BALI</w:t>
      </w:r>
      <w:r w:rsidRPr="00B91686">
        <w:rPr>
          <w:rFonts w:cstheme="minorHAnsi"/>
          <w:sz w:val="22"/>
          <w:szCs w:val="22"/>
        </w:rPr>
        <w:t xml:space="preserve"> study.</w:t>
      </w:r>
    </w:p>
    <w:p w14:paraId="62D7D727" w14:textId="0D65EB35" w:rsidR="008C39D5" w:rsidRPr="00B91686" w:rsidRDefault="008C39D5" w:rsidP="00B91686">
      <w:pPr>
        <w:spacing w:line="480" w:lineRule="auto"/>
        <w:rPr>
          <w:rFonts w:cstheme="minorHAnsi"/>
          <w:sz w:val="22"/>
          <w:szCs w:val="22"/>
        </w:rPr>
      </w:pPr>
    </w:p>
    <w:p w14:paraId="00FCED54" w14:textId="5F5B92B1" w:rsidR="008C39D5" w:rsidRPr="00B91686" w:rsidRDefault="008C39D5" w:rsidP="00B91686">
      <w:pPr>
        <w:spacing w:line="480" w:lineRule="auto"/>
        <w:rPr>
          <w:rFonts w:cstheme="minorHAnsi"/>
          <w:b/>
          <w:bCs/>
          <w:sz w:val="22"/>
          <w:szCs w:val="22"/>
        </w:rPr>
      </w:pPr>
      <w:r w:rsidRPr="00B91686">
        <w:rPr>
          <w:rFonts w:cstheme="minorHAnsi"/>
          <w:b/>
          <w:bCs/>
          <w:sz w:val="22"/>
          <w:szCs w:val="22"/>
        </w:rPr>
        <w:t>Definition</w:t>
      </w:r>
      <w:r w:rsidR="00690DEC" w:rsidRPr="00B91686">
        <w:rPr>
          <w:rFonts w:cstheme="minorHAnsi"/>
          <w:b/>
          <w:bCs/>
          <w:sz w:val="22"/>
          <w:szCs w:val="22"/>
        </w:rPr>
        <w:t xml:space="preserve"> of selected variables and outcomes</w:t>
      </w:r>
    </w:p>
    <w:p w14:paraId="1F183849" w14:textId="22684721" w:rsidR="00FB1835" w:rsidRPr="00B91686" w:rsidRDefault="008C39D5" w:rsidP="00B91686">
      <w:pPr>
        <w:spacing w:line="480" w:lineRule="auto"/>
        <w:rPr>
          <w:rFonts w:cstheme="minorHAnsi"/>
          <w:sz w:val="22"/>
          <w:szCs w:val="22"/>
        </w:rPr>
      </w:pPr>
      <w:r w:rsidRPr="00B91686">
        <w:rPr>
          <w:rFonts w:cstheme="minorHAnsi"/>
          <w:sz w:val="22"/>
          <w:szCs w:val="22"/>
        </w:rPr>
        <w:t xml:space="preserve">Duration of mechanical ventilation was defined as done in </w:t>
      </w:r>
      <w:r w:rsidRPr="00B91686">
        <w:rPr>
          <w:rFonts w:cstheme="minorHAnsi"/>
          <w:i/>
          <w:sz w:val="22"/>
          <w:szCs w:val="22"/>
        </w:rPr>
        <w:t>RESTORE</w:t>
      </w:r>
      <w:r w:rsidRPr="00B91686">
        <w:rPr>
          <w:rFonts w:cstheme="minorHAnsi"/>
          <w:sz w:val="22"/>
          <w:szCs w:val="22"/>
        </w:rPr>
        <w:t xml:space="preserve"> with patients assigned 28 days if they remained intubated, were transferred or died prior to day 28, therefore making this outcome equivalent to ventilator-free days. </w:t>
      </w:r>
    </w:p>
    <w:p w14:paraId="157D9256" w14:textId="0D639C73" w:rsidR="00FB1835" w:rsidRPr="00B91686" w:rsidRDefault="00FB1835" w:rsidP="00B91686">
      <w:pPr>
        <w:spacing w:line="480" w:lineRule="auto"/>
        <w:rPr>
          <w:rFonts w:cstheme="minorHAnsi"/>
          <w:sz w:val="22"/>
          <w:szCs w:val="22"/>
        </w:rPr>
      </w:pPr>
    </w:p>
    <w:p w14:paraId="5A500193" w14:textId="69B80AAA" w:rsidR="00FB1835" w:rsidRPr="00B91686" w:rsidRDefault="00FB1835" w:rsidP="00B91686">
      <w:pPr>
        <w:spacing w:line="480" w:lineRule="auto"/>
        <w:rPr>
          <w:rFonts w:eastAsia="Times New Roman" w:cstheme="minorHAnsi"/>
          <w:color w:val="000000"/>
          <w:sz w:val="22"/>
          <w:szCs w:val="22"/>
        </w:rPr>
      </w:pPr>
      <w:r w:rsidRPr="00B91686">
        <w:rPr>
          <w:rFonts w:cstheme="minorHAnsi"/>
          <w:sz w:val="22"/>
          <w:szCs w:val="22"/>
        </w:rPr>
        <w:t xml:space="preserve">Oxygenation index (OI) was calculated as per the standard definition of mean airway pressure </w:t>
      </w:r>
      <w:r w:rsidRPr="00B91686">
        <w:rPr>
          <w:rFonts w:eastAsia="Times New Roman" w:cstheme="minorHAnsi"/>
          <w:color w:val="222222"/>
          <w:sz w:val="22"/>
          <w:szCs w:val="22"/>
          <w:shd w:val="clear" w:color="auto" w:fill="FFFFFF"/>
        </w:rPr>
        <w:t>(in cmH</w:t>
      </w:r>
      <w:r w:rsidRPr="00B91686">
        <w:rPr>
          <w:rFonts w:eastAsia="Times New Roman" w:cstheme="minorHAnsi"/>
          <w:color w:val="222222"/>
          <w:sz w:val="22"/>
          <w:szCs w:val="22"/>
          <w:vertAlign w:val="subscript"/>
        </w:rPr>
        <w:t>2</w:t>
      </w:r>
      <w:r w:rsidRPr="00B91686">
        <w:rPr>
          <w:rFonts w:eastAsia="Times New Roman" w:cstheme="minorHAnsi"/>
          <w:color w:val="222222"/>
          <w:sz w:val="22"/>
          <w:szCs w:val="22"/>
          <w:shd w:val="clear" w:color="auto" w:fill="FFFFFF"/>
        </w:rPr>
        <w:t>O) × FiO</w:t>
      </w:r>
      <w:r w:rsidRPr="00B91686">
        <w:rPr>
          <w:rFonts w:eastAsia="Times New Roman" w:cstheme="minorHAnsi"/>
          <w:color w:val="222222"/>
          <w:sz w:val="22"/>
          <w:szCs w:val="22"/>
          <w:vertAlign w:val="subscript"/>
        </w:rPr>
        <w:t>2</w:t>
      </w:r>
      <w:r w:rsidRPr="00B91686">
        <w:rPr>
          <w:rFonts w:eastAsia="Times New Roman" w:cstheme="minorHAnsi"/>
          <w:color w:val="222222"/>
          <w:sz w:val="22"/>
          <w:szCs w:val="22"/>
          <w:shd w:val="clear" w:color="auto" w:fill="FFFFFF"/>
        </w:rPr>
        <w:t> × 100 ÷ PaO</w:t>
      </w:r>
      <w:r w:rsidRPr="00B91686">
        <w:rPr>
          <w:rFonts w:eastAsia="Times New Roman" w:cstheme="minorHAnsi"/>
          <w:color w:val="222222"/>
          <w:sz w:val="22"/>
          <w:szCs w:val="22"/>
          <w:vertAlign w:val="subscript"/>
        </w:rPr>
        <w:t>2</w:t>
      </w:r>
      <w:r w:rsidRPr="00B91686">
        <w:rPr>
          <w:rFonts w:eastAsia="Times New Roman" w:cstheme="minorHAnsi"/>
          <w:color w:val="222222"/>
          <w:sz w:val="22"/>
          <w:szCs w:val="22"/>
        </w:rPr>
        <w:t xml:space="preserve">. </w:t>
      </w:r>
      <w:proofErr w:type="spellStart"/>
      <w:r w:rsidRPr="00B91686">
        <w:rPr>
          <w:rFonts w:eastAsia="Times New Roman" w:cstheme="minorHAnsi"/>
          <w:color w:val="222222"/>
          <w:sz w:val="22"/>
          <w:szCs w:val="22"/>
        </w:rPr>
        <w:t>OSI</w:t>
      </w:r>
      <w:proofErr w:type="spellEnd"/>
      <w:r w:rsidRPr="00B91686">
        <w:rPr>
          <w:rFonts w:eastAsia="Times New Roman" w:cstheme="minorHAnsi"/>
          <w:color w:val="222222"/>
          <w:sz w:val="22"/>
          <w:szCs w:val="22"/>
        </w:rPr>
        <w:t xml:space="preserve"> was calculated as </w:t>
      </w:r>
      <w:r w:rsidRPr="00B91686">
        <w:rPr>
          <w:rFonts w:cstheme="minorHAnsi"/>
          <w:sz w:val="22"/>
          <w:szCs w:val="22"/>
        </w:rPr>
        <w:t xml:space="preserve">mean airway pressure </w:t>
      </w:r>
      <w:r w:rsidRPr="00B91686">
        <w:rPr>
          <w:rFonts w:eastAsia="Times New Roman" w:cstheme="minorHAnsi"/>
          <w:color w:val="222222"/>
          <w:sz w:val="22"/>
          <w:szCs w:val="22"/>
          <w:shd w:val="clear" w:color="auto" w:fill="FFFFFF"/>
        </w:rPr>
        <w:t>(in cmH</w:t>
      </w:r>
      <w:r w:rsidRPr="00B91686">
        <w:rPr>
          <w:rFonts w:eastAsia="Times New Roman" w:cstheme="minorHAnsi"/>
          <w:color w:val="222222"/>
          <w:sz w:val="22"/>
          <w:szCs w:val="22"/>
          <w:vertAlign w:val="subscript"/>
        </w:rPr>
        <w:t>2</w:t>
      </w:r>
      <w:r w:rsidRPr="00B91686">
        <w:rPr>
          <w:rFonts w:eastAsia="Times New Roman" w:cstheme="minorHAnsi"/>
          <w:color w:val="222222"/>
          <w:sz w:val="22"/>
          <w:szCs w:val="22"/>
          <w:shd w:val="clear" w:color="auto" w:fill="FFFFFF"/>
        </w:rPr>
        <w:t xml:space="preserve">O) </w:t>
      </w:r>
      <w:r w:rsidRPr="00B91686">
        <w:rPr>
          <w:rFonts w:eastAsia="Times New Roman" w:cstheme="minorHAnsi"/>
          <w:color w:val="000000"/>
          <w:sz w:val="22"/>
          <w:szCs w:val="22"/>
          <w:shd w:val="clear" w:color="auto" w:fill="FFFFFF"/>
        </w:rPr>
        <w:t>× FiO</w:t>
      </w:r>
      <w:r w:rsidRPr="00B91686">
        <w:rPr>
          <w:rFonts w:eastAsia="Times New Roman" w:cstheme="minorHAnsi"/>
          <w:color w:val="000000"/>
          <w:sz w:val="22"/>
          <w:szCs w:val="22"/>
          <w:vertAlign w:val="subscript"/>
        </w:rPr>
        <w:t>2</w:t>
      </w:r>
      <w:r w:rsidRPr="00B91686">
        <w:rPr>
          <w:rFonts w:eastAsia="Times New Roman" w:cstheme="minorHAnsi"/>
          <w:color w:val="000000"/>
          <w:sz w:val="22"/>
          <w:szCs w:val="22"/>
          <w:shd w:val="clear" w:color="auto" w:fill="FFFFFF"/>
        </w:rPr>
        <w:t> × 100÷SpO</w:t>
      </w:r>
      <w:r w:rsidRPr="00B91686">
        <w:rPr>
          <w:rFonts w:eastAsia="Times New Roman" w:cstheme="minorHAnsi"/>
          <w:color w:val="000000"/>
          <w:sz w:val="22"/>
          <w:szCs w:val="22"/>
          <w:vertAlign w:val="subscript"/>
        </w:rPr>
        <w:t>2</w:t>
      </w:r>
      <w:r w:rsidRPr="00B91686">
        <w:rPr>
          <w:rFonts w:eastAsia="Times New Roman" w:cstheme="minorHAnsi"/>
          <w:color w:val="000000"/>
          <w:sz w:val="22"/>
          <w:szCs w:val="22"/>
        </w:rPr>
        <w:t xml:space="preserve">. If the OI was not measured for a specific day, it was calculated from the </w:t>
      </w:r>
      <w:proofErr w:type="spellStart"/>
      <w:r w:rsidRPr="00B91686">
        <w:rPr>
          <w:rFonts w:eastAsia="Times New Roman" w:cstheme="minorHAnsi"/>
          <w:color w:val="000000"/>
          <w:sz w:val="22"/>
          <w:szCs w:val="22"/>
        </w:rPr>
        <w:t>OSI</w:t>
      </w:r>
      <w:proofErr w:type="spellEnd"/>
      <w:r w:rsidRPr="00B91686">
        <w:rPr>
          <w:rFonts w:eastAsia="Times New Roman" w:cstheme="minorHAnsi"/>
          <w:color w:val="000000"/>
          <w:sz w:val="22"/>
          <w:szCs w:val="22"/>
        </w:rPr>
        <w:t xml:space="preserve"> using the following equation OI = (</w:t>
      </w:r>
      <w:proofErr w:type="spellStart"/>
      <w:r w:rsidRPr="00B91686">
        <w:rPr>
          <w:rFonts w:eastAsia="Times New Roman" w:cstheme="minorHAnsi"/>
          <w:color w:val="000000"/>
          <w:sz w:val="22"/>
          <w:szCs w:val="22"/>
        </w:rPr>
        <w:t>OSI</w:t>
      </w:r>
      <w:proofErr w:type="spellEnd"/>
      <w:r w:rsidRPr="00B91686">
        <w:rPr>
          <w:rFonts w:eastAsia="Times New Roman" w:cstheme="minorHAnsi"/>
          <w:color w:val="000000"/>
          <w:sz w:val="22"/>
          <w:szCs w:val="22"/>
        </w:rPr>
        <w:t xml:space="preserve"> - 2.76) </w:t>
      </w:r>
      <w:r w:rsidRPr="00B91686">
        <w:rPr>
          <w:rFonts w:eastAsia="Times New Roman" w:cstheme="minorHAnsi"/>
          <w:color w:val="000000"/>
          <w:sz w:val="22"/>
          <w:szCs w:val="22"/>
        </w:rPr>
        <w:sym w:font="Symbol" w:char="F0B8"/>
      </w:r>
      <w:r w:rsidRPr="00B91686">
        <w:rPr>
          <w:rFonts w:eastAsia="Times New Roman" w:cstheme="minorHAnsi"/>
          <w:color w:val="000000"/>
          <w:sz w:val="22"/>
          <w:szCs w:val="22"/>
        </w:rPr>
        <w:t xml:space="preserve"> 0.547</w:t>
      </w:r>
      <w:r w:rsidRPr="00B91686">
        <w:rPr>
          <w:rFonts w:eastAsia="Times New Roman" w:cstheme="minorHAnsi"/>
          <w:color w:val="000000"/>
          <w:sz w:val="22"/>
          <w:szCs w:val="22"/>
        </w:rPr>
        <w:fldChar w:fldCharType="begin" w:fldLock="1"/>
      </w:r>
      <w:r w:rsidR="00B91686" w:rsidRPr="00B91686">
        <w:rPr>
          <w:rFonts w:eastAsia="Times New Roman" w:cstheme="minorHAnsi"/>
          <w:color w:val="000000"/>
          <w:sz w:val="22"/>
          <w:szCs w:val="22"/>
        </w:rPr>
        <w:instrText>ADDIN CSL_CITATION {"citationItems":[{"id":"ITEM-1","itemData":{"DOI":"10.1113/expphysiol.2006.034363","abstract":"During moderate exercise (below the lactate threshold, θ L), muscle CO 2 production (˙ Q CO 2) kinetics are monoexponential, with a time constant (τ) similar to that of O 2 consumption. Following a delay incorporating the muscle-lung vascular transit time, ˙ Q CO 2 is expressed at the lungs (˙ V CO 2) with an appreciably longer τ , reflecting the influence of intervening high-capacitance CO 2 stores. Above θ L , ˙ V CO 2 kinetics become complex, resulting from the conflation of the differing rates of HCO 3 − breakdown and degrees of compensatory hyperventilation with that of the underlying aerobic component. During incremental exercise, the increased rate of ˙ V CO 2 relative to pulmonary O 2 uptake (˙ V O 2) can be used to quantify θ L validly if aerobic and hyperventilatory sources can be ruled out, i.e. θ L is then attributable to the decrease in muscle and blood [HCO 3 − ]. In many cases, however, very rapid incrementation of work rate and/or prior depletion of CO 2 stores (by volitional or anticipatory hyperventilation) can yield a 'false positive' non-invasive estimation of θ L ('pseudo-threshold') resulting from a slowing of the rate of wash-in of transient CO 2 stores. During the non-steady state of muscular exercise, the tissue capacitance of the blood and skeletal muscle (i.e. the change in the amount of gas loaded into or released from the tissue of interest per unit change in its partial pressure) dissociates the pulmonary gas exchange transients from those of the muscle metabolic changes. Since the tissue capacitance for CO 2 is appreciably greater than for O 2 (Farhi &amp; Rahn, 1955), this means that the respiratory exchange ratio (R), i.e. the ratio of the volumes of CO 2 and O 2 exchanged across the tissue of interest per unit time, will differ from that of the respiratory quotient (RQ), i.e. the ratio of the amounts of metabolic CO 2 and O 2 produced and consumed, respectively, by the tissue per unit time not only across the lung, where it is most typically determined and from which inferences are most typically drawn, but also across the muscle vascular bed itself. For example, the normal CO 2 capacitance of blood, evidenced by the slope of its dissociation curve over the region of interest, is severalfold greater than that for O 2 (Piiper, 1965). But, in addition, skeletal muscle contraction results in a transient metabolic alkalosis in the force-generating units (Steinhagen et al. 1976; Kemp, 2005) and in the venous effluent of the exer…","author":[{"dropping-particle":"","family":"Whipp","given":"Brian J","non-dropping-particle":"","parse-names":false,"suffix":""}],"container-title":"The Author. Journal compilation C","id":"ITEM-1","issued":{"date-parts":[["2007"]]},"page":"347-355","title":"Physiological mechanisms dissociating pulmonary CO 2 and O 2 exchange dynamics during exercise in humans","type":"article-journal","volume":"92"},"uris":["http://www.mendeley.com/documents/?uuid=f6dab2c3-99d5-336f-905c-f33d0b46a81e"]}],"mendeley":{"formattedCitation":"&lt;span style=\"baseline\"&gt;(&lt;span style=\"baseline\"&gt;2&lt;/span&gt;)&lt;/span&gt;","plainTextFormattedCitation":"(2)","previouslyFormattedCitation":"&lt;sup&gt;3&lt;/sup&gt;"},"properties":{"noteIndex":0},"schema":"https://github.com/citation-style-language/schema/raw/master/csl-citation.json"}</w:instrText>
      </w:r>
      <w:r w:rsidRPr="00B91686">
        <w:rPr>
          <w:rFonts w:eastAsia="Times New Roman" w:cstheme="minorHAnsi"/>
          <w:color w:val="000000"/>
          <w:sz w:val="22"/>
          <w:szCs w:val="22"/>
        </w:rPr>
        <w:fldChar w:fldCharType="separate"/>
      </w:r>
      <w:r w:rsidR="00B91686" w:rsidRPr="00B91686">
        <w:rPr>
          <w:rFonts w:eastAsia="Times New Roman" w:cstheme="minorHAnsi"/>
          <w:noProof/>
          <w:color w:val="000000"/>
          <w:sz w:val="22"/>
          <w:szCs w:val="22"/>
        </w:rPr>
        <w:t>(2)</w:t>
      </w:r>
      <w:r w:rsidRPr="00B91686">
        <w:rPr>
          <w:rFonts w:eastAsia="Times New Roman" w:cstheme="minorHAnsi"/>
          <w:color w:val="000000"/>
          <w:sz w:val="22"/>
          <w:szCs w:val="22"/>
        </w:rPr>
        <w:fldChar w:fldCharType="end"/>
      </w:r>
      <w:r w:rsidRPr="00B91686">
        <w:rPr>
          <w:rFonts w:eastAsia="Times New Roman" w:cstheme="minorHAnsi"/>
          <w:color w:val="000000"/>
          <w:sz w:val="22"/>
          <w:szCs w:val="22"/>
        </w:rPr>
        <w:t xml:space="preserve"> as long as the SpO</w:t>
      </w:r>
      <w:r w:rsidRPr="00B91686">
        <w:rPr>
          <w:rFonts w:eastAsia="Times New Roman" w:cstheme="minorHAnsi"/>
          <w:color w:val="000000"/>
          <w:sz w:val="22"/>
          <w:szCs w:val="22"/>
          <w:vertAlign w:val="subscript"/>
        </w:rPr>
        <w:t>2</w:t>
      </w:r>
      <w:r w:rsidRPr="00B91686">
        <w:rPr>
          <w:rFonts w:eastAsia="Times New Roman" w:cstheme="minorHAnsi"/>
          <w:color w:val="000000"/>
          <w:sz w:val="22"/>
          <w:szCs w:val="22"/>
        </w:rPr>
        <w:t xml:space="preserve"> was ≤ 97%. </w:t>
      </w:r>
    </w:p>
    <w:p w14:paraId="4A5943A3" w14:textId="77777777" w:rsidR="00FB1835" w:rsidRPr="00B91686" w:rsidRDefault="00FB1835" w:rsidP="00B91686">
      <w:pPr>
        <w:spacing w:line="480" w:lineRule="auto"/>
        <w:rPr>
          <w:rFonts w:eastAsia="Times New Roman" w:cstheme="minorHAnsi"/>
          <w:color w:val="000000"/>
          <w:sz w:val="22"/>
          <w:szCs w:val="22"/>
        </w:rPr>
      </w:pPr>
    </w:p>
    <w:p w14:paraId="5D8498E2" w14:textId="77777777" w:rsidR="00FB1835" w:rsidRPr="00B91686" w:rsidRDefault="00FB1835" w:rsidP="00B91686">
      <w:pPr>
        <w:spacing w:line="480" w:lineRule="auto"/>
        <w:rPr>
          <w:rFonts w:eastAsia="Times New Roman" w:cstheme="minorHAnsi"/>
          <w:color w:val="000000"/>
          <w:sz w:val="22"/>
          <w:szCs w:val="22"/>
        </w:rPr>
      </w:pPr>
      <w:proofErr w:type="spellStart"/>
      <w:r w:rsidRPr="00B91686">
        <w:rPr>
          <w:rFonts w:cstheme="minorHAnsi"/>
          <w:color w:val="000000" w:themeColor="text1"/>
          <w:sz w:val="22"/>
          <w:szCs w:val="22"/>
        </w:rPr>
        <w:t>sTM</w:t>
      </w:r>
      <w:proofErr w:type="spellEnd"/>
      <w:r w:rsidRPr="00B91686">
        <w:rPr>
          <w:rFonts w:cstheme="minorHAnsi"/>
          <w:color w:val="000000" w:themeColor="text1"/>
          <w:sz w:val="22"/>
          <w:szCs w:val="22"/>
        </w:rPr>
        <w:t xml:space="preserve"> values obtained after the maximal OI was attained were excluded, and consequently patients were excluded if there were less than two </w:t>
      </w:r>
      <w:proofErr w:type="spellStart"/>
      <w:r w:rsidRPr="00B91686">
        <w:rPr>
          <w:rFonts w:cstheme="minorHAnsi"/>
          <w:color w:val="000000" w:themeColor="text1"/>
          <w:sz w:val="22"/>
          <w:szCs w:val="22"/>
        </w:rPr>
        <w:t>sTM</w:t>
      </w:r>
      <w:proofErr w:type="spellEnd"/>
      <w:r w:rsidRPr="00B91686">
        <w:rPr>
          <w:rFonts w:cstheme="minorHAnsi"/>
          <w:color w:val="000000" w:themeColor="text1"/>
          <w:sz w:val="22"/>
          <w:szCs w:val="22"/>
        </w:rPr>
        <w:t xml:space="preserve"> values collected before the maximal OI was reached.  </w:t>
      </w:r>
    </w:p>
    <w:p w14:paraId="0976AA61" w14:textId="77777777" w:rsidR="00FB1835" w:rsidRPr="00B91686" w:rsidRDefault="00FB1835" w:rsidP="00B91686">
      <w:pPr>
        <w:spacing w:line="480" w:lineRule="auto"/>
        <w:rPr>
          <w:rFonts w:cstheme="minorHAnsi"/>
          <w:sz w:val="22"/>
          <w:szCs w:val="22"/>
        </w:rPr>
      </w:pPr>
    </w:p>
    <w:p w14:paraId="137B10CE" w14:textId="0B8C1837" w:rsidR="00690DEC" w:rsidRPr="00B91686" w:rsidRDefault="008C39D5" w:rsidP="00B91686">
      <w:pPr>
        <w:spacing w:line="480" w:lineRule="auto"/>
        <w:rPr>
          <w:rFonts w:cstheme="minorHAnsi"/>
          <w:sz w:val="22"/>
          <w:szCs w:val="22"/>
        </w:rPr>
      </w:pPr>
      <w:r w:rsidRPr="00B91686">
        <w:rPr>
          <w:rFonts w:cstheme="minorHAnsi"/>
          <w:sz w:val="22"/>
          <w:szCs w:val="22"/>
        </w:rPr>
        <w:t>Organ systems considered in quantifying organ failure were cardiovascular, renal, neurological, hematological and hepatological systems, which was based on a modified Goldstein criteria as previously described.</w:t>
      </w:r>
      <w:r w:rsidRPr="00B91686">
        <w:rPr>
          <w:rFonts w:cstheme="minorHAnsi"/>
          <w:sz w:val="22"/>
          <w:szCs w:val="22"/>
        </w:rPr>
        <w:fldChar w:fldCharType="begin" w:fldLock="1"/>
      </w:r>
      <w:r w:rsidR="00B91686" w:rsidRPr="00B91686">
        <w:rPr>
          <w:rFonts w:cstheme="minorHAnsi"/>
          <w:sz w:val="22"/>
          <w:szCs w:val="22"/>
        </w:rPr>
        <w:instrText>ADDIN CSL_CITATION {"citationItems":[{"id":"ITEM-1","itemData":{"DOI":"10.1001/jama.2014.18399","ISSN":"0098-7484","abstract":"&lt;h3&gt;Importance&lt;/h3&gt;&lt;p&gt;Protocolized sedation improves clinical outcomes in critically ill adults, but its effect in children is unknown.&lt;/p&gt;&lt;h3&gt;Objective&lt;/h3&gt;&lt;p&gt;To determine whether critically ill children managed with a nurse-implemented, goal-directed sedation protocol experience fewer days of mechanical ventilation than patients receiving usual care.&lt;/p&gt;&lt;h3&gt;Design, Setting, and Participants&lt;/h3&gt;&lt;p&gt;Cluster randomized trial conducted in 31 US pediatric intensive care units (PICUs). A total of 2449 children (mean age, 4.7 years; range, 2 weeks to 17 years) mechanically ventilated for acute respiratory failure were enrolled in 2009-2013 and followed up until 72 hours after opioids were discontinued, 28 days, or hospital discharge.&lt;/p&gt;&lt;h3&gt;Intervention&lt;/h3&gt;&lt;p&gt;Intervention PICUs (17 sites; n = 1225 patients) used a protocol that included targeted sedation, arousal assessments, extubation readiness testing, sedation adjustment every 8 hours, and sedation weaning. Control PICUs (14 sites; n = 1224 patients) managed sedation per usual care.&lt;/p&gt;&lt;h3&gt;Main Outcomes and Measures&lt;/h3&gt;&lt;p&gt;The primary outcome was duration of mechanical ventilation. Secondary outcomes included time to recovery from acute respiratory failure, duration of weaning from mechanical ventilation, neurological testing, PICU and hospital lengths of stay, in-hospital mortality, sedation-related adverse events, measures of sedative exposure (wakefulness, pain, and agitation), and occurrence of iatrogenic withdrawal.&lt;/p&gt;&lt;h3&gt;Results&lt;/h3&gt;&lt;p&gt;Duration of mechanical ventilation was not different between the 2 groups (intervention: median, 6.5 [IQR, 4.1-11.2] days; control: median, 6.5 [IQR, 3.7-12.1] days). Sedation-related adverse events including inadequate pain and sedation management, clinically significant iatrogenic withdrawal, and unplanned endotracheal tube/invasive line removal were not significantly different between the 2 groups. Intervention patients experienced more postextubation stridor (7% vs 4%;&lt;i&gt;P&lt;/i&gt; = .03) and fewer stage 2 or worse immobility-related pressure ulcers (&amp;lt;1% vs 2%;&lt;i&gt;P&lt;/i&gt; = .001). In exploratory analyses, intervention patients had fewer days of opioid administration (median, 9 [IQR, 5-15] days vs 10 [IQR, 4-21] days;&lt;i&gt;P&lt;/i&gt; = .01), were exposed to fewer sedative classes (median, 2 [IQR, 2-3] classes vs 3 [IQR, 2-4] classes;&lt;i&gt;P&lt;/i&gt; &amp;lt; .001), and were more often awake and calm while intubated (median, 86% [IQR, 67%-100%] of days vs 75% [IQR, 50%-100%] of days;&lt;i&gt;P…","author":[{"dropping-particle":"","family":"Curley","given":"Martha A. Q.","non-dropping-particle":"","parse-names":false,"suffix":""},{"dropping-particle":"","family":"Wypij","given":"David","non-dropping-particle":"","parse-names":false,"suffix":""},{"dropping-particle":"","family":"Watson","given":"R. Scott","non-dropping-particle":"","parse-names":false,"suffix":""},{"dropping-particle":"","family":"Grant","given":"Mary Jo C.","non-dropping-particle":"","parse-names":false,"suffix":""},{"dropping-particle":"","family":"Asaro","given":"Lisa A.","non-dropping-particle":"","parse-names":false,"suffix":""},{"dropping-particle":"","family":"Cheifetz","given":"Ira M.","non-dropping-particle":"","parse-names":false,"suffix":""},{"dropping-particle":"","family":"Dodson","given":"Brenda L.","non-dropping-particle":"","parse-names":false,"suffix":""},{"dropping-particle":"","family":"Franck","given":"Linda S.","non-dropping-particle":"","parse-names":false,"suffix":""},{"dropping-particle":"","family":"Gedeit","given":"Rainer G.","non-dropping-particle":"","parse-names":false,"suffix":""},{"dropping-particle":"","family":"Angus","given":"Derek C.","non-dropping-particle":"","parse-names":false,"suffix":""},{"dropping-particle":"","family":"Matthay","given":"Michael A.","non-dropping-particle":"","parse-names":false,"suffix":""}],"container-title":"JAMA","id":"ITEM-1","issue":"4","issued":{"date-parts":[["2015","1","27"]]},"page":"379","publisher":"American Medical Association","title":"Protocolized Sedation vs Usual Care in Pediatric Patients Mechanically Ventilated for Acute Respiratory Failure","type":"article-journal","volume":"313"},"uris":["http://www.mendeley.com/documents/?uuid=43bc898a-7e9d-39a9-beea-05fcf3397097"]}],"mendeley":{"formattedCitation":"&lt;span style=\"baseline\"&gt;(&lt;span style=\"baseline\"&gt;1&lt;/span&gt;)&lt;/span&gt;","plainTextFormattedCitation":"(1)","previouslyFormattedCitation":"&lt;sup&gt;1&lt;/sup&gt;"},"properties":{"noteIndex":0},"schema":"https://github.com/citation-style-language/schema/raw/master/csl-citation.json"}</w:instrText>
      </w:r>
      <w:r w:rsidRPr="00B91686">
        <w:rPr>
          <w:rFonts w:cstheme="minorHAnsi"/>
          <w:sz w:val="22"/>
          <w:szCs w:val="22"/>
        </w:rPr>
        <w:fldChar w:fldCharType="separate"/>
      </w:r>
      <w:r w:rsidR="00B91686" w:rsidRPr="00B91686">
        <w:rPr>
          <w:rFonts w:cstheme="minorHAnsi"/>
          <w:noProof/>
          <w:sz w:val="22"/>
          <w:szCs w:val="22"/>
        </w:rPr>
        <w:t>(1)</w:t>
      </w:r>
      <w:r w:rsidRPr="00B91686">
        <w:rPr>
          <w:rFonts w:cstheme="minorHAnsi"/>
          <w:sz w:val="22"/>
          <w:szCs w:val="22"/>
        </w:rPr>
        <w:fldChar w:fldCharType="end"/>
      </w:r>
      <w:r w:rsidRPr="00B91686">
        <w:rPr>
          <w:rFonts w:cstheme="minorHAnsi"/>
          <w:sz w:val="22"/>
          <w:szCs w:val="22"/>
        </w:rPr>
        <w:t xml:space="preserve"> PARDS was defined as described by the Pediatric Acute Lung Injury Consensus Conference</w:t>
      </w:r>
      <w:r w:rsidRPr="00B91686">
        <w:rPr>
          <w:rFonts w:cstheme="minorHAnsi"/>
          <w:sz w:val="22"/>
          <w:szCs w:val="22"/>
        </w:rPr>
        <w:fldChar w:fldCharType="begin" w:fldLock="1"/>
      </w:r>
      <w:r w:rsidR="00B91686" w:rsidRPr="00B91686">
        <w:rPr>
          <w:rFonts w:cstheme="minorHAnsi"/>
          <w:sz w:val="22"/>
          <w:szCs w:val="22"/>
        </w:rPr>
        <w:instrText>ADDIN CSL_CITATION {"citationItems":[{"id":"ITEM-1","itemData":{"DOI":"10.1097/PCC.0000000000000350","ISSN":"19473893","abstract":"Objective: To describe the final recommendations of the Pediatric Acute Lung Injury Consensus Conference. Design: Consensus conference of experts in pediatric acute lung injury. Setting: Not applicable. Subjects: PICU patients with evidence of acute lung injury or acute respiratory distress syndrome. Interventions: None. Methods: A panel of 27 experts met over the course of 2 years to develop a taxonomy to define pediatric acute respiratory distress syndrome and to make recommendations regarding treatment and research priorities. When published, data were lacking a modified Delphi approach emphasizing strong professional agreement was used. Measurements and Main Results: A panel of 27 experts met over the course of 2 years to develop a taxonomy to define pediatric acute respiratory distress syndrome and to make recommendations regarding treatment and research priorities. When published data were lacking a modified Delphi approach emphasizing strong professional agreement was used. The Pediatric Acute Lung Injury Consensus Conference experts developed and voted on a total of 151 recommendations addressing the following topics related to pediatric acute respiratory distress syndrome: 1) Definition, prevalence, and epidemiology; 2) Pathophysiology, comorbidities, and severity; 3) Ventilatory support; 4) Pulmonary-specific ancillary treatment; 5) Nonpulmonary treatment; 6) Monitoring; 7) Noninvasive support and ventilation; 8) Extracorporeal support; and 9) Morbidity and long-term outcomes. There were 132 recommendations with strong agreement and 19 recommendations with weak agreement. Once restated, the final iteration of the recommendations had none with equipoise or disagreement. Conclusions: The Consensus Conference developed pediatric-specific definitions for acute respiratory distress syndrome and recommendations regarding treatment and future research priorities. These are intended to promote optimization and consistency of care for children with pediatric acute respiratory distress syndrome and identify areas of uncertainty requiring further investigation.","author":[{"dropping-particle":"","family":"Jouvet","given":"Philippe","non-dropping-particle":"","parse-names":false,"suffix":""},{"dropping-particle":"","family":"Thomas","given":"Neal J.","non-dropping-particle":"","parse-names":false,"suffix":""},{"dropping-particle":"","family":"Willson","given":"Douglas F.","non-dropping-particle":"","parse-names":false,"suffix":""},{"dropping-particle":"","family":"Erickson","given":"Simon","non-dropping-particle":"","parse-names":false,"suffix":""},{"dropping-particle":"","family":"Khemani","given":"Robinder","non-dropping-particle":"","parse-names":false,"suffix":""},{"dropping-particle":"","family":"Smith","given":"Lincoln","non-dropping-particle":"","parse-names":false,"suffix":""},{"dropping-particle":"","family":"Zimmerman","given":"Jerry","non-dropping-particle":"","parse-names":false,"suffix":""},{"dropping-particle":"","family":"Dahmer","given":"Mary","non-dropping-particle":"","parse-names":false,"suffix":""},{"dropping-particle":"","family":"Flori","given":"Heidi","non-dropping-particle":"","parse-names":false,"suffix":""},{"dropping-particle":"","family":"Quasney","given":"Michael","non-dropping-particle":"","parse-names":false,"suffix":""},{"dropping-particle":"","family":"Sapru","given":"Anil","non-dropping-particle":"","parse-names":false,"suffix":""},{"dropping-particle":"","family":"Cheifetz","given":"Ira","non-dropping-particle":"","parse-names":false,"suffix":""},{"dropping-particle":"","family":"Rimensberger","given":"Peter C.","non-dropping-particle":"","parse-names":false,"suffix":""},{"dropping-particle":"","family":"Kneyber","given":"Martin","non-dropping-particle":"","parse-names":false,"suffix":""},{"dropping-particle":"","family":"Tamburro","given":"Robert F.","non-dropping-particle":"","parse-names":false,"suffix":""},{"dropping-particle":"","family":"Curley","given":"Martha A.Q.","non-dropping-particle":"","parse-names":false,"suffix":""},{"dropping-particle":"","family":"Nadkarni","given":"Vinay","non-dropping-particle":"","parse-names":false,"suffix":""},{"dropping-particle":"","family":"Valentine","given":"Stacey","non-dropping-particle":"","parse-names":false,"suffix":""},{"dropping-particle":"","family":"Emeriaud","given":"Guillaume","non-dropping-particle":"","parse-names":false,"suffix":""},{"dropping-particle":"","family":"Newth","given":"Christopher","non-dropping-particle":"","parse-names":false,"suffix":""},{"dropping-particle":"","family":"Carroll","given":"Christopher L.","non-dropping-particle":"","parse-names":false,"suffix":""},{"dropping-particle":"","family":"Essouri","given":"Sandrine","non-dropping-particle":"","parse-names":false,"suffix":""},{"dropping-particle":"","family":"Dalton","given":"Heidi","non-dropping-particle":"","parse-names":false,"suffix":""},{"dropping-particle":"","family":"Macrae","given":"Duncan","non-dropping-particle":"","parse-names":false,"suffix":""},{"dropping-particle":"","family":"Lopez-Cruces","given":"Yolanda","non-dropping-particle":"","parse-names":false,"suffix":""},{"dropping-particle":"","family":"Santschi","given":"Miriam","non-dropping-particle":"","parse-names":false,"suffix":""},{"dropping-particle":"","family":"Scott Watson","given":"R.","non-dropping-particle":"","parse-names":false,"suffix":""},{"dropping-particle":"","family":"Bembea","given":"Melania","non-dropping-particle":"","parse-names":false,"suffix":""}],"container-title":"Pediatric Critical Care Medicine","id":"ITEM-1","issue":"5","issued":{"date-parts":[["2015","6"]]},"page":"428-439","title":"Pediatric Acute Respiratory Distress Syndrome: Consensus Recommendations from the Pediatric Acute Lung Injury Consensus Conference","type":"paper-conference","volume":"16"},"uris":["http://www.mendeley.com/documents/?uuid=df1379f9-9690-35f5-b5cc-ca341e57353d"]}],"mendeley":{"formattedCitation":"&lt;span style=\"baseline\"&gt;(&lt;span style=\"baseline\"&gt;3&lt;/span&gt;)&lt;/span&gt;","plainTextFormattedCitation":"(3)","previouslyFormattedCitation":"&lt;sup&gt;2&lt;/sup&gt;"},"properties":{"noteIndex":0},"schema":"https://github.com/citation-style-language/schema/raw/master/csl-citation.json"}</w:instrText>
      </w:r>
      <w:r w:rsidRPr="00B91686">
        <w:rPr>
          <w:rFonts w:cstheme="minorHAnsi"/>
          <w:sz w:val="22"/>
          <w:szCs w:val="22"/>
        </w:rPr>
        <w:fldChar w:fldCharType="separate"/>
      </w:r>
      <w:r w:rsidR="00B91686" w:rsidRPr="00B91686">
        <w:rPr>
          <w:rFonts w:cstheme="minorHAnsi"/>
          <w:noProof/>
          <w:sz w:val="22"/>
          <w:szCs w:val="22"/>
        </w:rPr>
        <w:t>(3)</w:t>
      </w:r>
      <w:r w:rsidRPr="00B91686">
        <w:rPr>
          <w:rFonts w:cstheme="minorHAnsi"/>
          <w:sz w:val="22"/>
          <w:szCs w:val="22"/>
        </w:rPr>
        <w:fldChar w:fldCharType="end"/>
      </w:r>
      <w:r w:rsidRPr="00B91686">
        <w:rPr>
          <w:rFonts w:cstheme="minorHAnsi"/>
          <w:sz w:val="22"/>
          <w:szCs w:val="22"/>
        </w:rPr>
        <w:t xml:space="preserve"> except that all patients defined as having PARDS also had bilateral infiltrates within 2 days before or 1 day after meeting OI or </w:t>
      </w:r>
      <w:proofErr w:type="spellStart"/>
      <w:r w:rsidRPr="00B91686">
        <w:rPr>
          <w:rFonts w:cstheme="minorHAnsi"/>
          <w:sz w:val="22"/>
          <w:szCs w:val="22"/>
        </w:rPr>
        <w:t>OSI</w:t>
      </w:r>
      <w:proofErr w:type="spellEnd"/>
      <w:r w:rsidRPr="00B91686">
        <w:rPr>
          <w:rFonts w:cstheme="minorHAnsi"/>
          <w:sz w:val="22"/>
          <w:szCs w:val="22"/>
        </w:rPr>
        <w:t xml:space="preserve"> criteria for PARDS.</w:t>
      </w:r>
      <w:r w:rsidR="00380D49">
        <w:rPr>
          <w:rFonts w:cstheme="minorHAnsi"/>
          <w:sz w:val="22"/>
          <w:szCs w:val="22"/>
        </w:rPr>
        <w:t xml:space="preserve"> </w:t>
      </w:r>
      <w:r w:rsidR="00380D49" w:rsidRPr="00380D49">
        <w:rPr>
          <w:rFonts w:eastAsia="Times New Roman" w:cstheme="minorHAnsi"/>
          <w:color w:val="000000" w:themeColor="text1"/>
          <w:sz w:val="22"/>
          <w:szCs w:val="22"/>
          <w:highlight w:val="yellow"/>
          <w:shd w:val="clear" w:color="auto" w:fill="FFFFFF"/>
        </w:rPr>
        <w:t>The latter modification was necessary because RESTORE did not collect data on patients with unilateral infiltrates</w:t>
      </w:r>
      <w:r w:rsidR="00380D49" w:rsidRPr="00380D49">
        <w:rPr>
          <w:rFonts w:eastAsia="Times New Roman" w:cstheme="minorHAnsi"/>
          <w:color w:val="000000" w:themeColor="text1"/>
          <w:sz w:val="22"/>
          <w:szCs w:val="22"/>
          <w:shd w:val="clear" w:color="auto" w:fill="FFFFFF"/>
        </w:rPr>
        <w:t>.</w:t>
      </w:r>
    </w:p>
    <w:p w14:paraId="29E8C661" w14:textId="316D6421" w:rsidR="00FB1835" w:rsidRDefault="00FB1835" w:rsidP="00B91686">
      <w:pPr>
        <w:spacing w:line="480" w:lineRule="auto"/>
        <w:rPr>
          <w:rFonts w:cstheme="minorHAnsi"/>
          <w:sz w:val="22"/>
          <w:szCs w:val="22"/>
        </w:rPr>
      </w:pPr>
    </w:p>
    <w:p w14:paraId="4CA70FA4" w14:textId="58B7D970" w:rsidR="004F79F4" w:rsidRDefault="004F79F4" w:rsidP="00B91686">
      <w:pPr>
        <w:spacing w:line="480" w:lineRule="auto"/>
        <w:rPr>
          <w:rFonts w:cstheme="minorHAnsi"/>
          <w:sz w:val="22"/>
          <w:szCs w:val="22"/>
        </w:rPr>
      </w:pPr>
      <w:r>
        <w:rPr>
          <w:rFonts w:cstheme="minorHAnsi"/>
          <w:sz w:val="22"/>
          <w:szCs w:val="22"/>
        </w:rPr>
        <w:t>Supplemental Tables</w:t>
      </w:r>
    </w:p>
    <w:p w14:paraId="0EA437F1" w14:textId="77777777" w:rsidR="004F79F4" w:rsidRPr="000E22C8" w:rsidRDefault="004F79F4" w:rsidP="004F79F4">
      <w:pPr>
        <w:rPr>
          <w:rFonts w:cstheme="minorHAnsi"/>
          <w:sz w:val="22"/>
          <w:szCs w:val="22"/>
        </w:rPr>
      </w:pPr>
      <w:r w:rsidRPr="00547BA9">
        <w:rPr>
          <w:rFonts w:cstheme="minorHAnsi"/>
          <w:b/>
          <w:bCs/>
          <w:sz w:val="22"/>
          <w:szCs w:val="22"/>
        </w:rPr>
        <w:t>Supp. Table 1.</w:t>
      </w:r>
      <w:r w:rsidRPr="00523EBA">
        <w:rPr>
          <w:rFonts w:cstheme="minorHAnsi"/>
          <w:sz w:val="22"/>
          <w:szCs w:val="22"/>
        </w:rPr>
        <w:t xml:space="preserve"> Baseline characteristics of study population. </w:t>
      </w:r>
    </w:p>
    <w:p w14:paraId="4D02D4DE" w14:textId="77777777" w:rsidR="004F79F4" w:rsidRDefault="004F79F4" w:rsidP="004F79F4"/>
    <w:tbl>
      <w:tblPr>
        <w:tblW w:w="8630" w:type="dxa"/>
        <w:tblLook w:val="04A0" w:firstRow="1" w:lastRow="0" w:firstColumn="1" w:lastColumn="0" w:noHBand="0" w:noVBand="1"/>
      </w:tblPr>
      <w:tblGrid>
        <w:gridCol w:w="7010"/>
        <w:gridCol w:w="1620"/>
      </w:tblGrid>
      <w:tr w:rsidR="004F79F4" w:rsidRPr="000E22C8" w14:paraId="0992A7AB" w14:textId="77777777" w:rsidTr="00D30F21">
        <w:trPr>
          <w:trHeight w:val="295"/>
        </w:trPr>
        <w:tc>
          <w:tcPr>
            <w:tcW w:w="7010" w:type="dxa"/>
            <w:tcBorders>
              <w:top w:val="single" w:sz="8" w:space="0" w:color="A5A5A5"/>
              <w:left w:val="single" w:sz="8" w:space="0" w:color="A5A5A5"/>
              <w:bottom w:val="single" w:sz="12" w:space="0" w:color="A5A5A5"/>
              <w:right w:val="single" w:sz="8" w:space="0" w:color="A5A5A5"/>
            </w:tcBorders>
            <w:shd w:val="clear" w:color="auto" w:fill="auto"/>
            <w:vAlign w:val="center"/>
            <w:hideMark/>
          </w:tcPr>
          <w:p w14:paraId="00AD2AF5" w14:textId="77777777" w:rsidR="004F79F4" w:rsidRPr="000E22C8" w:rsidRDefault="004F79F4" w:rsidP="00D30F21">
            <w:pPr>
              <w:rPr>
                <w:rFonts w:ascii="Calibri" w:eastAsia="Times New Roman" w:hAnsi="Calibri" w:cs="Calibri"/>
                <w:b/>
                <w:bCs/>
                <w:color w:val="000000"/>
              </w:rPr>
            </w:pPr>
            <w:r w:rsidRPr="000E22C8">
              <w:rPr>
                <w:rFonts w:ascii="Calibri" w:eastAsia="Times New Roman" w:hAnsi="Calibri" w:cs="Calibri"/>
                <w:b/>
                <w:bCs/>
                <w:color w:val="000000"/>
              </w:rPr>
              <w:t>Characteristics</w:t>
            </w:r>
          </w:p>
        </w:tc>
        <w:tc>
          <w:tcPr>
            <w:tcW w:w="1620" w:type="dxa"/>
            <w:tcBorders>
              <w:top w:val="single" w:sz="8" w:space="0" w:color="A5A5A5"/>
              <w:left w:val="nil"/>
              <w:bottom w:val="single" w:sz="12" w:space="0" w:color="A5A5A5"/>
              <w:right w:val="single" w:sz="8" w:space="0" w:color="A5A5A5"/>
            </w:tcBorders>
            <w:shd w:val="clear" w:color="auto" w:fill="auto"/>
            <w:vAlign w:val="center"/>
            <w:hideMark/>
          </w:tcPr>
          <w:p w14:paraId="0E55B879" w14:textId="77777777" w:rsidR="004F79F4" w:rsidRPr="000E22C8" w:rsidRDefault="004F79F4" w:rsidP="00D30F21">
            <w:pPr>
              <w:rPr>
                <w:rFonts w:ascii="Calibri" w:eastAsia="Times New Roman" w:hAnsi="Calibri" w:cs="Calibri"/>
                <w:b/>
                <w:bCs/>
                <w:color w:val="000000"/>
              </w:rPr>
            </w:pPr>
            <w:r w:rsidRPr="000E22C8">
              <w:rPr>
                <w:rFonts w:ascii="Calibri" w:eastAsia="Times New Roman" w:hAnsi="Calibri" w:cs="Calibri"/>
                <w:b/>
                <w:bCs/>
                <w:color w:val="000000"/>
              </w:rPr>
              <w:t>N (%)</w:t>
            </w:r>
          </w:p>
        </w:tc>
      </w:tr>
      <w:tr w:rsidR="004F79F4" w:rsidRPr="000E22C8" w14:paraId="654AB555"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5A370274" w14:textId="77777777" w:rsidR="004F79F4" w:rsidRPr="000E22C8" w:rsidRDefault="004F79F4" w:rsidP="00D30F21">
            <w:pPr>
              <w:rPr>
                <w:rFonts w:ascii="Calibri" w:eastAsia="Times New Roman" w:hAnsi="Calibri" w:cs="Calibri"/>
                <w:b/>
                <w:bCs/>
                <w:color w:val="000000"/>
              </w:rPr>
            </w:pPr>
            <w:r w:rsidRPr="000E22C8">
              <w:rPr>
                <w:rFonts w:ascii="Calibri" w:eastAsia="Times New Roman" w:hAnsi="Calibri" w:cs="Calibri"/>
                <w:b/>
                <w:bCs/>
                <w:color w:val="000000"/>
              </w:rPr>
              <w:t>Sex</w:t>
            </w:r>
          </w:p>
        </w:tc>
        <w:tc>
          <w:tcPr>
            <w:tcW w:w="1620" w:type="dxa"/>
            <w:tcBorders>
              <w:top w:val="nil"/>
              <w:left w:val="nil"/>
              <w:bottom w:val="single" w:sz="8" w:space="0" w:color="A5A5A5"/>
              <w:right w:val="single" w:sz="8" w:space="0" w:color="A5A5A5"/>
            </w:tcBorders>
            <w:shd w:val="clear" w:color="000000" w:fill="F0F0F0"/>
            <w:vAlign w:val="bottom"/>
            <w:hideMark/>
          </w:tcPr>
          <w:p w14:paraId="0B660E99"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 </w:t>
            </w:r>
          </w:p>
        </w:tc>
      </w:tr>
      <w:tr w:rsidR="004F79F4" w:rsidRPr="000E22C8" w14:paraId="79285260"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7E1B6F18"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Female</w:t>
            </w:r>
          </w:p>
        </w:tc>
        <w:tc>
          <w:tcPr>
            <w:tcW w:w="1620" w:type="dxa"/>
            <w:tcBorders>
              <w:top w:val="nil"/>
              <w:left w:val="nil"/>
              <w:bottom w:val="single" w:sz="8" w:space="0" w:color="A5A5A5"/>
              <w:right w:val="single" w:sz="8" w:space="0" w:color="A5A5A5"/>
            </w:tcBorders>
            <w:shd w:val="clear" w:color="auto" w:fill="auto"/>
            <w:vAlign w:val="center"/>
            <w:hideMark/>
          </w:tcPr>
          <w:p w14:paraId="7D81D72A"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198 (45.8)</w:t>
            </w:r>
          </w:p>
        </w:tc>
      </w:tr>
      <w:tr w:rsidR="004F79F4" w:rsidRPr="000E22C8" w14:paraId="39AABF53"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1AED3147"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Male</w:t>
            </w:r>
          </w:p>
        </w:tc>
        <w:tc>
          <w:tcPr>
            <w:tcW w:w="1620" w:type="dxa"/>
            <w:tcBorders>
              <w:top w:val="nil"/>
              <w:left w:val="nil"/>
              <w:bottom w:val="single" w:sz="8" w:space="0" w:color="A5A5A5"/>
              <w:right w:val="single" w:sz="8" w:space="0" w:color="A5A5A5"/>
            </w:tcBorders>
            <w:shd w:val="clear" w:color="000000" w:fill="F0F0F0"/>
            <w:vAlign w:val="center"/>
            <w:hideMark/>
          </w:tcPr>
          <w:p w14:paraId="188822C6"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234 (54.2)</w:t>
            </w:r>
          </w:p>
        </w:tc>
      </w:tr>
      <w:tr w:rsidR="004F79F4" w:rsidRPr="000E22C8" w14:paraId="0CA0DAA7"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667AB23C" w14:textId="77777777" w:rsidR="004F79F4" w:rsidRPr="000E22C8" w:rsidRDefault="004F79F4" w:rsidP="00D30F21">
            <w:pPr>
              <w:rPr>
                <w:rFonts w:ascii="Calibri" w:eastAsia="Times New Roman" w:hAnsi="Calibri" w:cs="Calibri"/>
                <w:b/>
                <w:bCs/>
                <w:color w:val="000000"/>
              </w:rPr>
            </w:pPr>
            <w:r w:rsidRPr="000E22C8">
              <w:rPr>
                <w:rFonts w:ascii="Calibri" w:eastAsia="Times New Roman" w:hAnsi="Calibri" w:cs="Calibri"/>
                <w:b/>
                <w:bCs/>
                <w:color w:val="000000"/>
              </w:rPr>
              <w:t>Race</w:t>
            </w:r>
          </w:p>
        </w:tc>
        <w:tc>
          <w:tcPr>
            <w:tcW w:w="1620" w:type="dxa"/>
            <w:tcBorders>
              <w:top w:val="nil"/>
              <w:left w:val="nil"/>
              <w:bottom w:val="single" w:sz="8" w:space="0" w:color="A5A5A5"/>
              <w:right w:val="single" w:sz="8" w:space="0" w:color="A5A5A5"/>
            </w:tcBorders>
            <w:shd w:val="clear" w:color="auto" w:fill="auto"/>
            <w:vAlign w:val="bottom"/>
            <w:hideMark/>
          </w:tcPr>
          <w:p w14:paraId="0C1494E5"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 </w:t>
            </w:r>
          </w:p>
        </w:tc>
      </w:tr>
      <w:tr w:rsidR="004F79F4" w:rsidRPr="000E22C8" w14:paraId="3292EF9B"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11F0FAC2"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White</w:t>
            </w:r>
          </w:p>
        </w:tc>
        <w:tc>
          <w:tcPr>
            <w:tcW w:w="1620" w:type="dxa"/>
            <w:tcBorders>
              <w:top w:val="nil"/>
              <w:left w:val="nil"/>
              <w:bottom w:val="single" w:sz="8" w:space="0" w:color="A5A5A5"/>
              <w:right w:val="single" w:sz="8" w:space="0" w:color="A5A5A5"/>
            </w:tcBorders>
            <w:shd w:val="clear" w:color="000000" w:fill="F0F0F0"/>
            <w:vAlign w:val="center"/>
            <w:hideMark/>
          </w:tcPr>
          <w:p w14:paraId="64D09FE5"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313 (72.5)</w:t>
            </w:r>
          </w:p>
        </w:tc>
      </w:tr>
      <w:tr w:rsidR="004F79F4" w:rsidRPr="000E22C8" w14:paraId="72DCB603"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49FED7DD"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Black/African American</w:t>
            </w:r>
          </w:p>
        </w:tc>
        <w:tc>
          <w:tcPr>
            <w:tcW w:w="1620" w:type="dxa"/>
            <w:tcBorders>
              <w:top w:val="nil"/>
              <w:left w:val="nil"/>
              <w:bottom w:val="single" w:sz="8" w:space="0" w:color="A5A5A5"/>
              <w:right w:val="single" w:sz="8" w:space="0" w:color="A5A5A5"/>
            </w:tcBorders>
            <w:shd w:val="clear" w:color="auto" w:fill="auto"/>
            <w:vAlign w:val="center"/>
            <w:hideMark/>
          </w:tcPr>
          <w:p w14:paraId="50AC08DC"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72 (16.7)</w:t>
            </w:r>
          </w:p>
        </w:tc>
      </w:tr>
      <w:tr w:rsidR="004F79F4" w:rsidRPr="000E22C8" w14:paraId="206E8A46"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183F85FB"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Asian</w:t>
            </w:r>
          </w:p>
        </w:tc>
        <w:tc>
          <w:tcPr>
            <w:tcW w:w="1620" w:type="dxa"/>
            <w:tcBorders>
              <w:top w:val="nil"/>
              <w:left w:val="nil"/>
              <w:bottom w:val="single" w:sz="8" w:space="0" w:color="A5A5A5"/>
              <w:right w:val="single" w:sz="8" w:space="0" w:color="A5A5A5"/>
            </w:tcBorders>
            <w:shd w:val="clear" w:color="000000" w:fill="F0F0F0"/>
            <w:vAlign w:val="center"/>
            <w:hideMark/>
          </w:tcPr>
          <w:p w14:paraId="5803AF72"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16 (3.7)</w:t>
            </w:r>
          </w:p>
        </w:tc>
      </w:tr>
      <w:tr w:rsidR="004F79F4" w:rsidRPr="000E22C8" w14:paraId="16911492"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4BBB5B72"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Other</w:t>
            </w:r>
          </w:p>
        </w:tc>
        <w:tc>
          <w:tcPr>
            <w:tcW w:w="1620" w:type="dxa"/>
            <w:tcBorders>
              <w:top w:val="nil"/>
              <w:left w:val="nil"/>
              <w:bottom w:val="single" w:sz="8" w:space="0" w:color="A5A5A5"/>
              <w:right w:val="single" w:sz="8" w:space="0" w:color="A5A5A5"/>
            </w:tcBorders>
            <w:shd w:val="clear" w:color="auto" w:fill="auto"/>
            <w:vAlign w:val="center"/>
            <w:hideMark/>
          </w:tcPr>
          <w:p w14:paraId="6DB01135"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11 (2.5)</w:t>
            </w:r>
          </w:p>
        </w:tc>
      </w:tr>
      <w:tr w:rsidR="004F79F4" w:rsidRPr="000E22C8" w14:paraId="782A4B02"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56CED152"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Multiracial/More than one race</w:t>
            </w:r>
          </w:p>
        </w:tc>
        <w:tc>
          <w:tcPr>
            <w:tcW w:w="1620" w:type="dxa"/>
            <w:tcBorders>
              <w:top w:val="nil"/>
              <w:left w:val="nil"/>
              <w:bottom w:val="single" w:sz="8" w:space="0" w:color="A5A5A5"/>
              <w:right w:val="single" w:sz="8" w:space="0" w:color="A5A5A5"/>
            </w:tcBorders>
            <w:shd w:val="clear" w:color="000000" w:fill="F0F0F0"/>
            <w:vAlign w:val="center"/>
            <w:hideMark/>
          </w:tcPr>
          <w:p w14:paraId="57411E0A"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20 (4.6)</w:t>
            </w:r>
          </w:p>
        </w:tc>
      </w:tr>
      <w:tr w:rsidR="004F79F4" w:rsidRPr="000E22C8" w14:paraId="293A4031"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098C82B7" w14:textId="77777777" w:rsidR="004F79F4" w:rsidRPr="000E22C8" w:rsidRDefault="004F79F4" w:rsidP="00D30F21">
            <w:pPr>
              <w:rPr>
                <w:rFonts w:ascii="Calibri" w:eastAsia="Times New Roman" w:hAnsi="Calibri" w:cs="Calibri"/>
                <w:b/>
                <w:bCs/>
                <w:color w:val="000000"/>
              </w:rPr>
            </w:pPr>
            <w:r w:rsidRPr="000E22C8">
              <w:rPr>
                <w:rFonts w:ascii="Calibri" w:eastAsia="Times New Roman" w:hAnsi="Calibri" w:cs="Calibri"/>
                <w:b/>
                <w:bCs/>
                <w:color w:val="000000"/>
              </w:rPr>
              <w:t>Ethnicity</w:t>
            </w:r>
          </w:p>
        </w:tc>
        <w:tc>
          <w:tcPr>
            <w:tcW w:w="1620" w:type="dxa"/>
            <w:tcBorders>
              <w:top w:val="nil"/>
              <w:left w:val="nil"/>
              <w:bottom w:val="single" w:sz="8" w:space="0" w:color="A5A5A5"/>
              <w:right w:val="single" w:sz="8" w:space="0" w:color="A5A5A5"/>
            </w:tcBorders>
            <w:shd w:val="clear" w:color="auto" w:fill="auto"/>
            <w:vAlign w:val="bottom"/>
            <w:hideMark/>
          </w:tcPr>
          <w:p w14:paraId="6E7F6B0A"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 </w:t>
            </w:r>
          </w:p>
        </w:tc>
      </w:tr>
      <w:tr w:rsidR="004F79F4" w:rsidRPr="000E22C8" w14:paraId="086AF6A2"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3ABD5E75"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Hispanic or Latino</w:t>
            </w:r>
          </w:p>
        </w:tc>
        <w:tc>
          <w:tcPr>
            <w:tcW w:w="1620" w:type="dxa"/>
            <w:tcBorders>
              <w:top w:val="nil"/>
              <w:left w:val="nil"/>
              <w:bottom w:val="single" w:sz="8" w:space="0" w:color="A5A5A5"/>
              <w:right w:val="single" w:sz="8" w:space="0" w:color="A5A5A5"/>
            </w:tcBorders>
            <w:shd w:val="clear" w:color="000000" w:fill="F0F0F0"/>
            <w:vAlign w:val="center"/>
            <w:hideMark/>
          </w:tcPr>
          <w:p w14:paraId="0DDD935C"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102 (23.6)</w:t>
            </w:r>
          </w:p>
        </w:tc>
      </w:tr>
      <w:tr w:rsidR="004F79F4" w:rsidRPr="000E22C8" w14:paraId="5967B1C8"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0A845FE6"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Not Hispanic or Latino</w:t>
            </w:r>
          </w:p>
        </w:tc>
        <w:tc>
          <w:tcPr>
            <w:tcW w:w="1620" w:type="dxa"/>
            <w:tcBorders>
              <w:top w:val="nil"/>
              <w:left w:val="nil"/>
              <w:bottom w:val="single" w:sz="8" w:space="0" w:color="A5A5A5"/>
              <w:right w:val="single" w:sz="8" w:space="0" w:color="A5A5A5"/>
            </w:tcBorders>
            <w:shd w:val="clear" w:color="auto" w:fill="auto"/>
            <w:vAlign w:val="center"/>
            <w:hideMark/>
          </w:tcPr>
          <w:p w14:paraId="135FB321"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328 (75.9)</w:t>
            </w:r>
          </w:p>
        </w:tc>
      </w:tr>
      <w:tr w:rsidR="004F79F4" w:rsidRPr="000E22C8" w14:paraId="382FD052"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7A1C39B8"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Unknown/Unavailable</w:t>
            </w:r>
          </w:p>
        </w:tc>
        <w:tc>
          <w:tcPr>
            <w:tcW w:w="1620" w:type="dxa"/>
            <w:tcBorders>
              <w:top w:val="nil"/>
              <w:left w:val="nil"/>
              <w:bottom w:val="single" w:sz="8" w:space="0" w:color="A5A5A5"/>
              <w:right w:val="single" w:sz="8" w:space="0" w:color="A5A5A5"/>
            </w:tcBorders>
            <w:shd w:val="clear" w:color="000000" w:fill="F0F0F0"/>
            <w:vAlign w:val="center"/>
            <w:hideMark/>
          </w:tcPr>
          <w:p w14:paraId="27DF2F8C"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2 (0.5)</w:t>
            </w:r>
          </w:p>
        </w:tc>
      </w:tr>
      <w:tr w:rsidR="004F79F4" w:rsidRPr="000E22C8" w14:paraId="33A7DAD6"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1D57B80D" w14:textId="77777777" w:rsidR="004F79F4" w:rsidRPr="000E22C8" w:rsidRDefault="004F79F4" w:rsidP="00D30F21">
            <w:pPr>
              <w:rPr>
                <w:rFonts w:ascii="Calibri" w:eastAsia="Times New Roman" w:hAnsi="Calibri" w:cs="Calibri"/>
                <w:b/>
                <w:bCs/>
                <w:color w:val="000000"/>
              </w:rPr>
            </w:pPr>
            <w:r w:rsidRPr="000E22C8">
              <w:rPr>
                <w:rFonts w:ascii="Calibri" w:eastAsia="Times New Roman" w:hAnsi="Calibri" w:cs="Calibri"/>
                <w:b/>
                <w:bCs/>
                <w:color w:val="000000"/>
              </w:rPr>
              <w:t>Primary diagnosis on enrollment</w:t>
            </w:r>
          </w:p>
        </w:tc>
        <w:tc>
          <w:tcPr>
            <w:tcW w:w="1620" w:type="dxa"/>
            <w:tcBorders>
              <w:top w:val="nil"/>
              <w:left w:val="nil"/>
              <w:bottom w:val="single" w:sz="8" w:space="0" w:color="A5A5A5"/>
              <w:right w:val="single" w:sz="8" w:space="0" w:color="A5A5A5"/>
            </w:tcBorders>
            <w:shd w:val="clear" w:color="auto" w:fill="auto"/>
            <w:vAlign w:val="bottom"/>
            <w:hideMark/>
          </w:tcPr>
          <w:p w14:paraId="493C9188"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 </w:t>
            </w:r>
          </w:p>
        </w:tc>
      </w:tr>
      <w:tr w:rsidR="004F79F4" w:rsidRPr="000E22C8" w14:paraId="1776E88A"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498301B5"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Bronchiolitis</w:t>
            </w:r>
          </w:p>
        </w:tc>
        <w:tc>
          <w:tcPr>
            <w:tcW w:w="1620" w:type="dxa"/>
            <w:tcBorders>
              <w:top w:val="nil"/>
              <w:left w:val="nil"/>
              <w:bottom w:val="single" w:sz="8" w:space="0" w:color="A5A5A5"/>
              <w:right w:val="single" w:sz="8" w:space="0" w:color="A5A5A5"/>
            </w:tcBorders>
            <w:shd w:val="clear" w:color="000000" w:fill="F0F0F0"/>
            <w:vAlign w:val="center"/>
            <w:hideMark/>
          </w:tcPr>
          <w:p w14:paraId="41E55EE9"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84 (19.4)</w:t>
            </w:r>
          </w:p>
        </w:tc>
      </w:tr>
      <w:tr w:rsidR="004F79F4" w:rsidRPr="000E22C8" w14:paraId="71248ABF"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47C3AC15"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Asthma or reactive airway disease</w:t>
            </w:r>
          </w:p>
        </w:tc>
        <w:tc>
          <w:tcPr>
            <w:tcW w:w="1620" w:type="dxa"/>
            <w:tcBorders>
              <w:top w:val="nil"/>
              <w:left w:val="nil"/>
              <w:bottom w:val="single" w:sz="8" w:space="0" w:color="A5A5A5"/>
              <w:right w:val="single" w:sz="8" w:space="0" w:color="A5A5A5"/>
            </w:tcBorders>
            <w:shd w:val="clear" w:color="auto" w:fill="auto"/>
            <w:vAlign w:val="center"/>
            <w:hideMark/>
          </w:tcPr>
          <w:p w14:paraId="38AD7314"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48 (11.1)</w:t>
            </w:r>
          </w:p>
        </w:tc>
      </w:tr>
      <w:tr w:rsidR="004F79F4" w:rsidRPr="000E22C8" w14:paraId="37480A36"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21EBC257"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Pneumonia (any organism)</w:t>
            </w:r>
          </w:p>
        </w:tc>
        <w:tc>
          <w:tcPr>
            <w:tcW w:w="1620" w:type="dxa"/>
            <w:tcBorders>
              <w:top w:val="nil"/>
              <w:left w:val="nil"/>
              <w:bottom w:val="single" w:sz="8" w:space="0" w:color="A5A5A5"/>
              <w:right w:val="single" w:sz="8" w:space="0" w:color="A5A5A5"/>
            </w:tcBorders>
            <w:shd w:val="clear" w:color="000000" w:fill="F0F0F0"/>
            <w:vAlign w:val="center"/>
            <w:hideMark/>
          </w:tcPr>
          <w:p w14:paraId="6C8B4E4E"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159 (36.8)</w:t>
            </w:r>
          </w:p>
        </w:tc>
      </w:tr>
      <w:tr w:rsidR="004F79F4" w:rsidRPr="000E22C8" w14:paraId="2D0A863C"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61BC8777"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lastRenderedPageBreak/>
              <w:t>Aspiration pneumonia</w:t>
            </w:r>
          </w:p>
        </w:tc>
        <w:tc>
          <w:tcPr>
            <w:tcW w:w="1620" w:type="dxa"/>
            <w:tcBorders>
              <w:top w:val="nil"/>
              <w:left w:val="nil"/>
              <w:bottom w:val="single" w:sz="8" w:space="0" w:color="A5A5A5"/>
              <w:right w:val="single" w:sz="8" w:space="0" w:color="A5A5A5"/>
            </w:tcBorders>
            <w:shd w:val="clear" w:color="auto" w:fill="auto"/>
            <w:vAlign w:val="center"/>
            <w:hideMark/>
          </w:tcPr>
          <w:p w14:paraId="18A5D5DF"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25 (5.8)</w:t>
            </w:r>
          </w:p>
        </w:tc>
      </w:tr>
      <w:tr w:rsidR="004F79F4" w:rsidRPr="000E22C8" w14:paraId="03D6934B"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07CC6472"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Thoracic trauma: pulmonary contusion or inhalation burns</w:t>
            </w:r>
          </w:p>
        </w:tc>
        <w:tc>
          <w:tcPr>
            <w:tcW w:w="1620" w:type="dxa"/>
            <w:tcBorders>
              <w:top w:val="nil"/>
              <w:left w:val="nil"/>
              <w:bottom w:val="single" w:sz="8" w:space="0" w:color="A5A5A5"/>
              <w:right w:val="single" w:sz="8" w:space="0" w:color="A5A5A5"/>
            </w:tcBorders>
            <w:shd w:val="clear" w:color="000000" w:fill="F0F0F0"/>
            <w:vAlign w:val="center"/>
            <w:hideMark/>
          </w:tcPr>
          <w:p w14:paraId="4736292E"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6 (1.4)</w:t>
            </w:r>
          </w:p>
        </w:tc>
      </w:tr>
      <w:tr w:rsidR="004F79F4" w:rsidRPr="000E22C8" w14:paraId="36AB995B"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59DD65F5"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 xml:space="preserve">Acute respiratory failure post </w:t>
            </w:r>
            <w:proofErr w:type="spellStart"/>
            <w:r w:rsidRPr="000E22C8">
              <w:rPr>
                <w:rFonts w:ascii="Calibri" w:eastAsia="Times New Roman" w:hAnsi="Calibri" w:cs="Calibri"/>
                <w:color w:val="000000"/>
              </w:rPr>
              <w:t>BMT</w:t>
            </w:r>
            <w:proofErr w:type="spellEnd"/>
          </w:p>
        </w:tc>
        <w:tc>
          <w:tcPr>
            <w:tcW w:w="1620" w:type="dxa"/>
            <w:tcBorders>
              <w:top w:val="nil"/>
              <w:left w:val="nil"/>
              <w:bottom w:val="single" w:sz="8" w:space="0" w:color="A5A5A5"/>
              <w:right w:val="single" w:sz="8" w:space="0" w:color="A5A5A5"/>
            </w:tcBorders>
            <w:shd w:val="clear" w:color="auto" w:fill="auto"/>
            <w:vAlign w:val="center"/>
            <w:hideMark/>
          </w:tcPr>
          <w:p w14:paraId="1D9D4D4F"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8 (1.9)</w:t>
            </w:r>
          </w:p>
        </w:tc>
      </w:tr>
      <w:tr w:rsidR="004F79F4" w:rsidRPr="000E22C8" w14:paraId="7055AF92"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702700BD"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Acute respiratory failure related to sepsis</w:t>
            </w:r>
          </w:p>
        </w:tc>
        <w:tc>
          <w:tcPr>
            <w:tcW w:w="1620" w:type="dxa"/>
            <w:tcBorders>
              <w:top w:val="nil"/>
              <w:left w:val="nil"/>
              <w:bottom w:val="single" w:sz="8" w:space="0" w:color="A5A5A5"/>
              <w:right w:val="single" w:sz="8" w:space="0" w:color="A5A5A5"/>
            </w:tcBorders>
            <w:shd w:val="clear" w:color="000000" w:fill="F0F0F0"/>
            <w:vAlign w:val="center"/>
            <w:hideMark/>
          </w:tcPr>
          <w:p w14:paraId="235433D8"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80 (18.5)</w:t>
            </w:r>
          </w:p>
        </w:tc>
      </w:tr>
      <w:tr w:rsidR="004F79F4" w:rsidRPr="000E22C8" w14:paraId="32D2E590"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223D6688"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Other</w:t>
            </w:r>
          </w:p>
        </w:tc>
        <w:tc>
          <w:tcPr>
            <w:tcW w:w="1620" w:type="dxa"/>
            <w:tcBorders>
              <w:top w:val="nil"/>
              <w:left w:val="nil"/>
              <w:bottom w:val="single" w:sz="8" w:space="0" w:color="A5A5A5"/>
              <w:right w:val="single" w:sz="8" w:space="0" w:color="A5A5A5"/>
            </w:tcBorders>
            <w:shd w:val="clear" w:color="auto" w:fill="auto"/>
            <w:vAlign w:val="center"/>
            <w:hideMark/>
          </w:tcPr>
          <w:p w14:paraId="289337DD"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22 (5.1)</w:t>
            </w:r>
          </w:p>
        </w:tc>
      </w:tr>
      <w:tr w:rsidR="004F79F4" w:rsidRPr="000E22C8" w14:paraId="30A84687"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5FBD9BB4" w14:textId="77777777" w:rsidR="004F79F4" w:rsidRPr="000E22C8" w:rsidRDefault="004F79F4" w:rsidP="00D30F21">
            <w:pPr>
              <w:rPr>
                <w:rFonts w:ascii="Calibri" w:eastAsia="Times New Roman" w:hAnsi="Calibri" w:cs="Calibri"/>
                <w:b/>
                <w:bCs/>
                <w:color w:val="000000"/>
              </w:rPr>
            </w:pPr>
            <w:r w:rsidRPr="000E22C8">
              <w:rPr>
                <w:rFonts w:ascii="Calibri" w:eastAsia="Times New Roman" w:hAnsi="Calibri" w:cs="Calibri"/>
                <w:b/>
                <w:bCs/>
                <w:color w:val="000000"/>
              </w:rPr>
              <w:t xml:space="preserve">PARDS present on </w:t>
            </w:r>
            <w:r>
              <w:rPr>
                <w:rFonts w:ascii="Calibri" w:eastAsia="Times New Roman" w:hAnsi="Calibri" w:cs="Calibri"/>
                <w:b/>
                <w:bCs/>
                <w:color w:val="000000"/>
              </w:rPr>
              <w:t>day 0</w:t>
            </w:r>
          </w:p>
        </w:tc>
        <w:tc>
          <w:tcPr>
            <w:tcW w:w="1620" w:type="dxa"/>
            <w:tcBorders>
              <w:top w:val="nil"/>
              <w:left w:val="nil"/>
              <w:bottom w:val="single" w:sz="8" w:space="0" w:color="A5A5A5"/>
              <w:right w:val="single" w:sz="8" w:space="0" w:color="A5A5A5"/>
            </w:tcBorders>
            <w:shd w:val="clear" w:color="000000" w:fill="F0F0F0"/>
            <w:vAlign w:val="bottom"/>
            <w:hideMark/>
          </w:tcPr>
          <w:p w14:paraId="080B32CB"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 </w:t>
            </w:r>
          </w:p>
        </w:tc>
      </w:tr>
      <w:tr w:rsidR="004F79F4" w:rsidRPr="000E22C8" w14:paraId="51EAEA6A"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42A66609"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Yes</w:t>
            </w:r>
          </w:p>
        </w:tc>
        <w:tc>
          <w:tcPr>
            <w:tcW w:w="1620" w:type="dxa"/>
            <w:tcBorders>
              <w:top w:val="nil"/>
              <w:left w:val="nil"/>
              <w:bottom w:val="single" w:sz="8" w:space="0" w:color="A5A5A5"/>
              <w:right w:val="single" w:sz="8" w:space="0" w:color="A5A5A5"/>
            </w:tcBorders>
            <w:shd w:val="clear" w:color="auto" w:fill="auto"/>
            <w:vAlign w:val="center"/>
            <w:hideMark/>
          </w:tcPr>
          <w:p w14:paraId="04A53B91"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245 (56.7)</w:t>
            </w:r>
          </w:p>
        </w:tc>
      </w:tr>
      <w:tr w:rsidR="004F79F4" w:rsidRPr="000E22C8" w14:paraId="4F727940"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3C2FBBF3"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No</w:t>
            </w:r>
          </w:p>
        </w:tc>
        <w:tc>
          <w:tcPr>
            <w:tcW w:w="1620" w:type="dxa"/>
            <w:tcBorders>
              <w:top w:val="nil"/>
              <w:left w:val="nil"/>
              <w:bottom w:val="single" w:sz="8" w:space="0" w:color="A5A5A5"/>
              <w:right w:val="single" w:sz="8" w:space="0" w:color="A5A5A5"/>
            </w:tcBorders>
            <w:shd w:val="clear" w:color="000000" w:fill="F0F0F0"/>
            <w:vAlign w:val="center"/>
            <w:hideMark/>
          </w:tcPr>
          <w:p w14:paraId="0E4A3225"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187 (43.3)</w:t>
            </w:r>
          </w:p>
        </w:tc>
      </w:tr>
      <w:tr w:rsidR="004F79F4" w:rsidRPr="000E22C8" w14:paraId="120E2C79"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75A274D9" w14:textId="77777777" w:rsidR="004F79F4" w:rsidRPr="000E22C8" w:rsidRDefault="004F79F4" w:rsidP="00D30F21">
            <w:pPr>
              <w:rPr>
                <w:rFonts w:ascii="Calibri" w:eastAsia="Times New Roman" w:hAnsi="Calibri" w:cs="Calibri"/>
                <w:b/>
                <w:bCs/>
                <w:color w:val="000000"/>
              </w:rPr>
            </w:pPr>
            <w:r w:rsidRPr="000E22C8">
              <w:rPr>
                <w:rFonts w:ascii="Calibri" w:eastAsia="Times New Roman" w:hAnsi="Calibri" w:cs="Calibri"/>
                <w:b/>
                <w:bCs/>
                <w:color w:val="000000"/>
              </w:rPr>
              <w:t>Age</w:t>
            </w:r>
          </w:p>
        </w:tc>
        <w:tc>
          <w:tcPr>
            <w:tcW w:w="1620" w:type="dxa"/>
            <w:tcBorders>
              <w:top w:val="nil"/>
              <w:left w:val="nil"/>
              <w:bottom w:val="single" w:sz="8" w:space="0" w:color="A5A5A5"/>
              <w:right w:val="single" w:sz="8" w:space="0" w:color="A5A5A5"/>
            </w:tcBorders>
            <w:shd w:val="clear" w:color="auto" w:fill="auto"/>
            <w:vAlign w:val="bottom"/>
            <w:hideMark/>
          </w:tcPr>
          <w:p w14:paraId="7469988C"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 </w:t>
            </w:r>
          </w:p>
        </w:tc>
      </w:tr>
      <w:tr w:rsidR="004F79F4" w:rsidRPr="000E22C8" w14:paraId="6A9392F5"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44CCC9F1"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Median (</w:t>
            </w:r>
            <w:proofErr w:type="spellStart"/>
            <w:r w:rsidRPr="000E22C8">
              <w:rPr>
                <w:rFonts w:ascii="Calibri" w:eastAsia="Times New Roman" w:hAnsi="Calibri" w:cs="Calibri"/>
                <w:color w:val="000000"/>
              </w:rPr>
              <w:t>IQR</w:t>
            </w:r>
            <w:proofErr w:type="spellEnd"/>
            <w:r w:rsidRPr="000E22C8">
              <w:rPr>
                <w:rFonts w:ascii="Calibri" w:eastAsia="Times New Roman" w:hAnsi="Calibri" w:cs="Calibri"/>
                <w:color w:val="000000"/>
              </w:rPr>
              <w:t>)</w:t>
            </w:r>
          </w:p>
        </w:tc>
        <w:tc>
          <w:tcPr>
            <w:tcW w:w="1620" w:type="dxa"/>
            <w:tcBorders>
              <w:top w:val="nil"/>
              <w:left w:val="nil"/>
              <w:bottom w:val="single" w:sz="8" w:space="0" w:color="A5A5A5"/>
              <w:right w:val="single" w:sz="8" w:space="0" w:color="A5A5A5"/>
            </w:tcBorders>
            <w:shd w:val="clear" w:color="000000" w:fill="F0F0F0"/>
            <w:vAlign w:val="center"/>
            <w:hideMark/>
          </w:tcPr>
          <w:p w14:paraId="7F6BEDED"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4.1 (0.7-11)</w:t>
            </w:r>
          </w:p>
        </w:tc>
      </w:tr>
      <w:tr w:rsidR="004F79F4" w:rsidRPr="000E22C8" w14:paraId="278DA404"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auto" w:fill="auto"/>
            <w:vAlign w:val="center"/>
            <w:hideMark/>
          </w:tcPr>
          <w:p w14:paraId="3A79B691" w14:textId="77777777" w:rsidR="004F79F4" w:rsidRPr="000E22C8" w:rsidRDefault="004F79F4" w:rsidP="00D30F21">
            <w:pPr>
              <w:rPr>
                <w:rFonts w:ascii="Calibri" w:eastAsia="Times New Roman" w:hAnsi="Calibri" w:cs="Calibri"/>
                <w:b/>
                <w:bCs/>
                <w:color w:val="000000"/>
              </w:rPr>
            </w:pPr>
            <w:r w:rsidRPr="000E22C8">
              <w:rPr>
                <w:rFonts w:ascii="Calibri" w:eastAsia="Times New Roman" w:hAnsi="Calibri" w:cs="Calibri"/>
                <w:b/>
                <w:bCs/>
                <w:color w:val="000000"/>
              </w:rPr>
              <w:t>PRISM-III score</w:t>
            </w:r>
          </w:p>
        </w:tc>
        <w:tc>
          <w:tcPr>
            <w:tcW w:w="1620" w:type="dxa"/>
            <w:tcBorders>
              <w:top w:val="nil"/>
              <w:left w:val="nil"/>
              <w:bottom w:val="single" w:sz="8" w:space="0" w:color="A5A5A5"/>
              <w:right w:val="single" w:sz="8" w:space="0" w:color="A5A5A5"/>
            </w:tcBorders>
            <w:shd w:val="clear" w:color="auto" w:fill="auto"/>
            <w:vAlign w:val="bottom"/>
            <w:hideMark/>
          </w:tcPr>
          <w:p w14:paraId="6A5DB24A"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 </w:t>
            </w:r>
          </w:p>
        </w:tc>
      </w:tr>
      <w:tr w:rsidR="004F79F4" w:rsidRPr="000E22C8" w14:paraId="0843A26F" w14:textId="77777777" w:rsidTr="00D30F21">
        <w:trPr>
          <w:trHeight w:val="295"/>
        </w:trPr>
        <w:tc>
          <w:tcPr>
            <w:tcW w:w="7010" w:type="dxa"/>
            <w:tcBorders>
              <w:top w:val="nil"/>
              <w:left w:val="single" w:sz="8" w:space="0" w:color="A5A5A5"/>
              <w:bottom w:val="single" w:sz="8" w:space="0" w:color="A5A5A5"/>
              <w:right w:val="single" w:sz="8" w:space="0" w:color="A5A5A5"/>
            </w:tcBorders>
            <w:shd w:val="clear" w:color="000000" w:fill="F0F0F0"/>
            <w:vAlign w:val="center"/>
            <w:hideMark/>
          </w:tcPr>
          <w:p w14:paraId="7FD9ECD7"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Median (</w:t>
            </w:r>
            <w:proofErr w:type="spellStart"/>
            <w:r w:rsidRPr="000E22C8">
              <w:rPr>
                <w:rFonts w:ascii="Calibri" w:eastAsia="Times New Roman" w:hAnsi="Calibri" w:cs="Calibri"/>
                <w:color w:val="000000"/>
              </w:rPr>
              <w:t>IQR</w:t>
            </w:r>
            <w:proofErr w:type="spellEnd"/>
            <w:r w:rsidRPr="000E22C8">
              <w:rPr>
                <w:rFonts w:ascii="Calibri" w:eastAsia="Times New Roman" w:hAnsi="Calibri" w:cs="Calibri"/>
                <w:color w:val="000000"/>
              </w:rPr>
              <w:t>)</w:t>
            </w:r>
          </w:p>
        </w:tc>
        <w:tc>
          <w:tcPr>
            <w:tcW w:w="1620" w:type="dxa"/>
            <w:tcBorders>
              <w:top w:val="nil"/>
              <w:left w:val="nil"/>
              <w:bottom w:val="single" w:sz="8" w:space="0" w:color="A5A5A5"/>
              <w:right w:val="single" w:sz="8" w:space="0" w:color="A5A5A5"/>
            </w:tcBorders>
            <w:shd w:val="clear" w:color="000000" w:fill="F0F0F0"/>
            <w:vAlign w:val="center"/>
            <w:hideMark/>
          </w:tcPr>
          <w:p w14:paraId="665FE791" w14:textId="77777777" w:rsidR="004F79F4" w:rsidRPr="000E22C8" w:rsidRDefault="004F79F4" w:rsidP="00D30F21">
            <w:pPr>
              <w:rPr>
                <w:rFonts w:ascii="Calibri" w:eastAsia="Times New Roman" w:hAnsi="Calibri" w:cs="Calibri"/>
                <w:color w:val="000000"/>
              </w:rPr>
            </w:pPr>
            <w:r w:rsidRPr="000E22C8">
              <w:rPr>
                <w:rFonts w:ascii="Calibri" w:eastAsia="Times New Roman" w:hAnsi="Calibri" w:cs="Calibri"/>
                <w:color w:val="000000"/>
              </w:rPr>
              <w:t>8 (3.5-13)</w:t>
            </w:r>
          </w:p>
        </w:tc>
      </w:tr>
    </w:tbl>
    <w:p w14:paraId="25BB405C" w14:textId="77777777" w:rsidR="004F79F4" w:rsidRPr="000E22C8" w:rsidRDefault="004F79F4" w:rsidP="004F79F4">
      <w:pPr>
        <w:rPr>
          <w:rFonts w:cstheme="minorHAnsi"/>
          <w:sz w:val="22"/>
          <w:szCs w:val="22"/>
        </w:rPr>
      </w:pPr>
      <w:proofErr w:type="spellStart"/>
      <w:r w:rsidRPr="00523EBA">
        <w:rPr>
          <w:rFonts w:cstheme="minorHAnsi"/>
          <w:sz w:val="22"/>
          <w:szCs w:val="22"/>
        </w:rPr>
        <w:t>IQR</w:t>
      </w:r>
      <w:proofErr w:type="spellEnd"/>
      <w:r w:rsidRPr="00523EBA">
        <w:rPr>
          <w:rFonts w:cstheme="minorHAnsi"/>
          <w:sz w:val="22"/>
          <w:szCs w:val="22"/>
        </w:rPr>
        <w:t>- Interquartile range.</w:t>
      </w:r>
    </w:p>
    <w:p w14:paraId="05D3D7AC" w14:textId="40393B3A" w:rsidR="004F79F4" w:rsidRDefault="004F79F4" w:rsidP="00B91686">
      <w:pPr>
        <w:spacing w:line="480" w:lineRule="auto"/>
        <w:rPr>
          <w:rFonts w:cstheme="minorHAnsi"/>
          <w:sz w:val="22"/>
          <w:szCs w:val="22"/>
        </w:rPr>
      </w:pPr>
    </w:p>
    <w:p w14:paraId="6EA1EC92" w14:textId="77777777" w:rsidR="004F79F4" w:rsidRDefault="004F79F4" w:rsidP="00B91686">
      <w:pPr>
        <w:spacing w:line="480" w:lineRule="auto"/>
        <w:rPr>
          <w:rFonts w:cstheme="minorHAnsi"/>
          <w:sz w:val="22"/>
          <w:szCs w:val="22"/>
        </w:rPr>
      </w:pPr>
    </w:p>
    <w:p w14:paraId="2659E33D" w14:textId="77777777" w:rsidR="004F79F4" w:rsidRDefault="004F79F4" w:rsidP="004F79F4">
      <w:r w:rsidRPr="00131290">
        <w:rPr>
          <w:rFonts w:cstheme="minorHAnsi"/>
          <w:b/>
          <w:bCs/>
          <w:sz w:val="22"/>
          <w:szCs w:val="22"/>
        </w:rPr>
        <w:t>Supp. Table 2.</w:t>
      </w:r>
      <w:r>
        <w:rPr>
          <w:rFonts w:cstheme="minorHAnsi"/>
          <w:sz w:val="22"/>
          <w:szCs w:val="22"/>
        </w:rPr>
        <w:t xml:space="preserve"> </w:t>
      </w:r>
      <w:r w:rsidRPr="00523EBA">
        <w:rPr>
          <w:rFonts w:cstheme="minorHAnsi"/>
          <w:sz w:val="22"/>
          <w:szCs w:val="22"/>
        </w:rPr>
        <w:t>Primary cause of death.</w:t>
      </w:r>
    </w:p>
    <w:tbl>
      <w:tblPr>
        <w:tblpPr w:leftFromText="180" w:rightFromText="180" w:vertAnchor="page" w:horzAnchor="margin" w:tblpY="6943"/>
        <w:tblW w:w="4580" w:type="dxa"/>
        <w:tblLayout w:type="fixed"/>
        <w:tblCellMar>
          <w:left w:w="0" w:type="dxa"/>
          <w:right w:w="0" w:type="dxa"/>
        </w:tblCellMar>
        <w:tblLook w:val="04A0" w:firstRow="1" w:lastRow="0" w:firstColumn="1" w:lastColumn="0" w:noHBand="0" w:noVBand="1"/>
      </w:tblPr>
      <w:tblGrid>
        <w:gridCol w:w="2870"/>
        <w:gridCol w:w="1710"/>
      </w:tblGrid>
      <w:tr w:rsidR="001F363E" w:rsidRPr="0028267F" w14:paraId="60997BF2" w14:textId="77777777" w:rsidTr="001C523E">
        <w:trPr>
          <w:trHeight w:val="68"/>
        </w:trPr>
        <w:tc>
          <w:tcPr>
            <w:tcW w:w="2870" w:type="dxa"/>
            <w:tcBorders>
              <w:top w:val="single" w:sz="8" w:space="0" w:color="A5A5A5"/>
              <w:left w:val="single" w:sz="8" w:space="0" w:color="A5A5A5"/>
              <w:bottom w:val="single" w:sz="18" w:space="0" w:color="A5A5A5"/>
              <w:right w:val="single" w:sz="8" w:space="0" w:color="A5A5A5"/>
            </w:tcBorders>
            <w:shd w:val="clear" w:color="auto" w:fill="auto"/>
            <w:tcMar>
              <w:top w:w="0" w:type="dxa"/>
              <w:left w:w="0" w:type="dxa"/>
              <w:bottom w:w="0" w:type="dxa"/>
              <w:right w:w="0" w:type="dxa"/>
            </w:tcMar>
            <w:vAlign w:val="center"/>
            <w:hideMark/>
          </w:tcPr>
          <w:p w14:paraId="0230F512" w14:textId="77777777" w:rsidR="001F363E" w:rsidRPr="0028267F" w:rsidRDefault="001F363E" w:rsidP="001C523E">
            <w:r w:rsidRPr="0028267F">
              <w:rPr>
                <w:b/>
                <w:bCs/>
              </w:rPr>
              <w:t>Primary cause of death</w:t>
            </w:r>
          </w:p>
        </w:tc>
        <w:tc>
          <w:tcPr>
            <w:tcW w:w="1710" w:type="dxa"/>
            <w:tcBorders>
              <w:top w:val="single" w:sz="8" w:space="0" w:color="A5A5A5"/>
              <w:left w:val="single" w:sz="8" w:space="0" w:color="A5A5A5"/>
              <w:bottom w:val="single" w:sz="18" w:space="0" w:color="A5A5A5"/>
              <w:right w:val="single" w:sz="8" w:space="0" w:color="A5A5A5"/>
            </w:tcBorders>
            <w:shd w:val="clear" w:color="auto" w:fill="auto"/>
            <w:tcMar>
              <w:top w:w="66" w:type="dxa"/>
              <w:left w:w="474" w:type="dxa"/>
              <w:bottom w:w="0" w:type="dxa"/>
              <w:right w:w="474" w:type="dxa"/>
            </w:tcMar>
            <w:vAlign w:val="center"/>
            <w:hideMark/>
          </w:tcPr>
          <w:p w14:paraId="2B3663A5" w14:textId="77777777" w:rsidR="001F363E" w:rsidRPr="0028267F" w:rsidRDefault="001F363E" w:rsidP="001C523E">
            <w:pPr>
              <w:jc w:val="center"/>
            </w:pPr>
            <w:r w:rsidRPr="0028267F">
              <w:rPr>
                <w:b/>
                <w:bCs/>
              </w:rPr>
              <w:t>N (%)</w:t>
            </w:r>
          </w:p>
        </w:tc>
      </w:tr>
      <w:tr w:rsidR="001F363E" w:rsidRPr="0028267F" w14:paraId="21DC25F2" w14:textId="77777777" w:rsidTr="001C523E">
        <w:trPr>
          <w:trHeight w:val="43"/>
        </w:trPr>
        <w:tc>
          <w:tcPr>
            <w:tcW w:w="2870" w:type="dxa"/>
            <w:tcBorders>
              <w:top w:val="single" w:sz="18" w:space="0" w:color="A5A5A5"/>
              <w:left w:val="single" w:sz="8" w:space="0" w:color="A5A5A5"/>
              <w:bottom w:val="single" w:sz="8" w:space="0" w:color="A5A5A5"/>
              <w:right w:val="single" w:sz="8" w:space="0" w:color="A5A5A5"/>
            </w:tcBorders>
            <w:shd w:val="clear" w:color="auto" w:fill="F0F0F0"/>
            <w:tcMar>
              <w:top w:w="0" w:type="dxa"/>
              <w:left w:w="0" w:type="dxa"/>
              <w:bottom w:w="0" w:type="dxa"/>
              <w:right w:w="0" w:type="dxa"/>
            </w:tcMar>
            <w:vAlign w:val="center"/>
            <w:hideMark/>
          </w:tcPr>
          <w:p w14:paraId="7B34DCEF" w14:textId="77777777" w:rsidR="001F363E" w:rsidRPr="0028267F" w:rsidRDefault="001F363E" w:rsidP="001C523E">
            <w:r w:rsidRPr="0028267F">
              <w:rPr>
                <w:b/>
                <w:bCs/>
              </w:rPr>
              <w:t>Respiratory failure</w:t>
            </w:r>
          </w:p>
        </w:tc>
        <w:tc>
          <w:tcPr>
            <w:tcW w:w="1710" w:type="dxa"/>
            <w:tcBorders>
              <w:top w:val="single" w:sz="18" w:space="0" w:color="A5A5A5"/>
              <w:left w:val="single" w:sz="8" w:space="0" w:color="A5A5A5"/>
              <w:bottom w:val="single" w:sz="8" w:space="0" w:color="A5A5A5"/>
              <w:right w:val="single" w:sz="8" w:space="0" w:color="A5A5A5"/>
            </w:tcBorders>
            <w:shd w:val="clear" w:color="auto" w:fill="F0F0F0"/>
            <w:tcMar>
              <w:top w:w="66" w:type="dxa"/>
              <w:left w:w="474" w:type="dxa"/>
              <w:bottom w:w="0" w:type="dxa"/>
              <w:right w:w="474" w:type="dxa"/>
            </w:tcMar>
            <w:vAlign w:val="center"/>
            <w:hideMark/>
          </w:tcPr>
          <w:p w14:paraId="360CBDDA" w14:textId="77777777" w:rsidR="001F363E" w:rsidRPr="0028267F" w:rsidRDefault="001F363E" w:rsidP="001C523E">
            <w:pPr>
              <w:jc w:val="center"/>
            </w:pPr>
            <w:r>
              <w:t>17</w:t>
            </w:r>
            <w:r w:rsidRPr="0028267F">
              <w:t xml:space="preserve"> (</w:t>
            </w:r>
            <w:r>
              <w:t>3.9</w:t>
            </w:r>
            <w:r w:rsidRPr="0028267F">
              <w:t>)</w:t>
            </w:r>
          </w:p>
        </w:tc>
      </w:tr>
      <w:tr w:rsidR="001F363E" w:rsidRPr="0028267F" w14:paraId="7CAA53E0" w14:textId="77777777" w:rsidTr="001C523E">
        <w:trPr>
          <w:trHeight w:val="68"/>
        </w:trPr>
        <w:tc>
          <w:tcPr>
            <w:tcW w:w="2870" w:type="dxa"/>
            <w:tcBorders>
              <w:top w:val="single" w:sz="8" w:space="0" w:color="A5A5A5"/>
              <w:left w:val="single" w:sz="8" w:space="0" w:color="A5A5A5"/>
              <w:bottom w:val="single" w:sz="8" w:space="0" w:color="A5A5A5"/>
              <w:right w:val="single" w:sz="8" w:space="0" w:color="A5A5A5"/>
            </w:tcBorders>
            <w:shd w:val="clear" w:color="auto" w:fill="auto"/>
            <w:tcMar>
              <w:top w:w="0" w:type="dxa"/>
              <w:left w:w="0" w:type="dxa"/>
              <w:bottom w:w="0" w:type="dxa"/>
              <w:right w:w="0" w:type="dxa"/>
            </w:tcMar>
            <w:vAlign w:val="center"/>
            <w:hideMark/>
          </w:tcPr>
          <w:p w14:paraId="15A86EE9" w14:textId="77777777" w:rsidR="001F363E" w:rsidRPr="0028267F" w:rsidRDefault="001F363E" w:rsidP="001C523E">
            <w:r w:rsidRPr="0028267F">
              <w:rPr>
                <w:b/>
                <w:bCs/>
              </w:rPr>
              <w:t>Multisystem organ failure</w:t>
            </w:r>
          </w:p>
        </w:tc>
        <w:tc>
          <w:tcPr>
            <w:tcW w:w="1710" w:type="dxa"/>
            <w:tcBorders>
              <w:top w:val="single" w:sz="8" w:space="0" w:color="A5A5A5"/>
              <w:left w:val="single" w:sz="8" w:space="0" w:color="A5A5A5"/>
              <w:bottom w:val="single" w:sz="8" w:space="0" w:color="A5A5A5"/>
              <w:right w:val="single" w:sz="8" w:space="0" w:color="A5A5A5"/>
            </w:tcBorders>
            <w:shd w:val="clear" w:color="auto" w:fill="auto"/>
            <w:tcMar>
              <w:top w:w="66" w:type="dxa"/>
              <w:left w:w="474" w:type="dxa"/>
              <w:bottom w:w="0" w:type="dxa"/>
              <w:right w:w="474" w:type="dxa"/>
            </w:tcMar>
            <w:vAlign w:val="center"/>
            <w:hideMark/>
          </w:tcPr>
          <w:p w14:paraId="79B3AABF" w14:textId="77777777" w:rsidR="001F363E" w:rsidRPr="0028267F" w:rsidRDefault="001F363E" w:rsidP="001C523E">
            <w:pPr>
              <w:jc w:val="center"/>
            </w:pPr>
            <w:r>
              <w:t>10</w:t>
            </w:r>
            <w:r w:rsidRPr="0028267F">
              <w:t xml:space="preserve"> (2.</w:t>
            </w:r>
            <w:r>
              <w:t>3</w:t>
            </w:r>
            <w:r w:rsidRPr="0028267F">
              <w:t>)</w:t>
            </w:r>
          </w:p>
        </w:tc>
      </w:tr>
      <w:tr w:rsidR="001F363E" w:rsidRPr="0028267F" w14:paraId="09A9A651" w14:textId="77777777" w:rsidTr="001C523E">
        <w:trPr>
          <w:trHeight w:val="68"/>
        </w:trPr>
        <w:tc>
          <w:tcPr>
            <w:tcW w:w="2870" w:type="dxa"/>
            <w:tcBorders>
              <w:top w:val="single" w:sz="8" w:space="0" w:color="A5A5A5"/>
              <w:left w:val="single" w:sz="8" w:space="0" w:color="A5A5A5"/>
              <w:bottom w:val="single" w:sz="8" w:space="0" w:color="A5A5A5"/>
              <w:right w:val="single" w:sz="8" w:space="0" w:color="A5A5A5"/>
            </w:tcBorders>
            <w:shd w:val="clear" w:color="auto" w:fill="F0F0F0"/>
            <w:tcMar>
              <w:top w:w="0" w:type="dxa"/>
              <w:left w:w="0" w:type="dxa"/>
              <w:bottom w:w="0" w:type="dxa"/>
              <w:right w:w="0" w:type="dxa"/>
            </w:tcMar>
            <w:vAlign w:val="center"/>
            <w:hideMark/>
          </w:tcPr>
          <w:p w14:paraId="2D60A732" w14:textId="77777777" w:rsidR="001F363E" w:rsidRPr="0028267F" w:rsidRDefault="001F363E" w:rsidP="001C523E">
            <w:r w:rsidRPr="0028267F">
              <w:rPr>
                <w:b/>
                <w:bCs/>
              </w:rPr>
              <w:t>Sepsis/septic shock</w:t>
            </w:r>
          </w:p>
        </w:tc>
        <w:tc>
          <w:tcPr>
            <w:tcW w:w="1710" w:type="dxa"/>
            <w:tcBorders>
              <w:top w:val="single" w:sz="8" w:space="0" w:color="A5A5A5"/>
              <w:left w:val="single" w:sz="8" w:space="0" w:color="A5A5A5"/>
              <w:bottom w:val="single" w:sz="8" w:space="0" w:color="A5A5A5"/>
              <w:right w:val="single" w:sz="8" w:space="0" w:color="A5A5A5"/>
            </w:tcBorders>
            <w:shd w:val="clear" w:color="auto" w:fill="F0F0F0"/>
            <w:tcMar>
              <w:top w:w="66" w:type="dxa"/>
              <w:left w:w="474" w:type="dxa"/>
              <w:bottom w:w="0" w:type="dxa"/>
              <w:right w:w="474" w:type="dxa"/>
            </w:tcMar>
            <w:vAlign w:val="center"/>
            <w:hideMark/>
          </w:tcPr>
          <w:p w14:paraId="6FFAF583" w14:textId="77777777" w:rsidR="001F363E" w:rsidRPr="0028267F" w:rsidRDefault="001F363E" w:rsidP="001C523E">
            <w:pPr>
              <w:jc w:val="center"/>
            </w:pPr>
            <w:r>
              <w:t>3</w:t>
            </w:r>
            <w:r w:rsidRPr="0028267F">
              <w:t xml:space="preserve"> (0.</w:t>
            </w:r>
            <w:r>
              <w:t>7</w:t>
            </w:r>
            <w:r w:rsidRPr="0028267F">
              <w:t>)</w:t>
            </w:r>
          </w:p>
        </w:tc>
      </w:tr>
      <w:tr w:rsidR="001F363E" w:rsidRPr="0028267F" w14:paraId="368C8EE1" w14:textId="77777777" w:rsidTr="001C523E">
        <w:trPr>
          <w:trHeight w:val="68"/>
        </w:trPr>
        <w:tc>
          <w:tcPr>
            <w:tcW w:w="2870" w:type="dxa"/>
            <w:tcBorders>
              <w:top w:val="single" w:sz="8" w:space="0" w:color="A5A5A5"/>
              <w:left w:val="single" w:sz="8" w:space="0" w:color="A5A5A5"/>
              <w:bottom w:val="single" w:sz="8" w:space="0" w:color="A5A5A5"/>
              <w:right w:val="single" w:sz="8" w:space="0" w:color="A5A5A5"/>
            </w:tcBorders>
            <w:shd w:val="clear" w:color="auto" w:fill="auto"/>
            <w:tcMar>
              <w:top w:w="0" w:type="dxa"/>
              <w:left w:w="0" w:type="dxa"/>
              <w:bottom w:w="0" w:type="dxa"/>
              <w:right w:w="0" w:type="dxa"/>
            </w:tcMar>
            <w:vAlign w:val="center"/>
            <w:hideMark/>
          </w:tcPr>
          <w:p w14:paraId="4C5E317D" w14:textId="77777777" w:rsidR="001F363E" w:rsidRPr="0028267F" w:rsidRDefault="001F363E" w:rsidP="001C523E">
            <w:r w:rsidRPr="0028267F">
              <w:rPr>
                <w:b/>
                <w:bCs/>
              </w:rPr>
              <w:t>Cancer</w:t>
            </w:r>
          </w:p>
        </w:tc>
        <w:tc>
          <w:tcPr>
            <w:tcW w:w="1710" w:type="dxa"/>
            <w:tcBorders>
              <w:top w:val="single" w:sz="8" w:space="0" w:color="A5A5A5"/>
              <w:left w:val="single" w:sz="8" w:space="0" w:color="A5A5A5"/>
              <w:bottom w:val="single" w:sz="8" w:space="0" w:color="A5A5A5"/>
              <w:right w:val="single" w:sz="8" w:space="0" w:color="A5A5A5"/>
            </w:tcBorders>
            <w:shd w:val="clear" w:color="auto" w:fill="auto"/>
            <w:tcMar>
              <w:top w:w="66" w:type="dxa"/>
              <w:left w:w="474" w:type="dxa"/>
              <w:bottom w:w="0" w:type="dxa"/>
              <w:right w:w="474" w:type="dxa"/>
            </w:tcMar>
            <w:vAlign w:val="center"/>
            <w:hideMark/>
          </w:tcPr>
          <w:p w14:paraId="549D6DDD" w14:textId="77777777" w:rsidR="001F363E" w:rsidRPr="0028267F" w:rsidRDefault="001F363E" w:rsidP="001C523E">
            <w:pPr>
              <w:jc w:val="center"/>
            </w:pPr>
            <w:r>
              <w:t>3</w:t>
            </w:r>
            <w:r w:rsidRPr="0028267F">
              <w:t xml:space="preserve"> (0.</w:t>
            </w:r>
            <w:r>
              <w:t>7</w:t>
            </w:r>
            <w:r w:rsidRPr="0028267F">
              <w:t>)</w:t>
            </w:r>
          </w:p>
        </w:tc>
      </w:tr>
      <w:tr w:rsidR="001F363E" w:rsidRPr="0028267F" w14:paraId="72BBAB24" w14:textId="77777777" w:rsidTr="001C523E">
        <w:trPr>
          <w:trHeight w:val="68"/>
        </w:trPr>
        <w:tc>
          <w:tcPr>
            <w:tcW w:w="2870" w:type="dxa"/>
            <w:tcBorders>
              <w:top w:val="single" w:sz="8" w:space="0" w:color="A5A5A5"/>
              <w:left w:val="single" w:sz="8" w:space="0" w:color="A5A5A5"/>
              <w:bottom w:val="single" w:sz="8" w:space="0" w:color="A5A5A5"/>
              <w:right w:val="single" w:sz="8" w:space="0" w:color="A5A5A5"/>
            </w:tcBorders>
            <w:shd w:val="clear" w:color="auto" w:fill="F0F0F0"/>
            <w:tcMar>
              <w:top w:w="0" w:type="dxa"/>
              <w:left w:w="0" w:type="dxa"/>
              <w:bottom w:w="0" w:type="dxa"/>
              <w:right w:w="0" w:type="dxa"/>
            </w:tcMar>
            <w:vAlign w:val="center"/>
            <w:hideMark/>
          </w:tcPr>
          <w:p w14:paraId="49520E2D" w14:textId="77777777" w:rsidR="001F363E" w:rsidRPr="0028267F" w:rsidRDefault="001F363E" w:rsidP="001C523E">
            <w:r w:rsidRPr="0028267F">
              <w:rPr>
                <w:b/>
                <w:bCs/>
              </w:rPr>
              <w:t>Other</w:t>
            </w:r>
          </w:p>
        </w:tc>
        <w:tc>
          <w:tcPr>
            <w:tcW w:w="1710" w:type="dxa"/>
            <w:tcBorders>
              <w:top w:val="single" w:sz="8" w:space="0" w:color="A5A5A5"/>
              <w:left w:val="single" w:sz="8" w:space="0" w:color="A5A5A5"/>
              <w:bottom w:val="single" w:sz="8" w:space="0" w:color="A5A5A5"/>
              <w:right w:val="single" w:sz="8" w:space="0" w:color="A5A5A5"/>
            </w:tcBorders>
            <w:shd w:val="clear" w:color="auto" w:fill="F0F0F0"/>
            <w:tcMar>
              <w:top w:w="66" w:type="dxa"/>
              <w:left w:w="474" w:type="dxa"/>
              <w:bottom w:w="0" w:type="dxa"/>
              <w:right w:w="474" w:type="dxa"/>
            </w:tcMar>
            <w:vAlign w:val="center"/>
            <w:hideMark/>
          </w:tcPr>
          <w:p w14:paraId="6BF6B647" w14:textId="77777777" w:rsidR="001F363E" w:rsidRPr="0028267F" w:rsidRDefault="001F363E" w:rsidP="001C523E">
            <w:pPr>
              <w:jc w:val="center"/>
            </w:pPr>
            <w:r>
              <w:t>2</w:t>
            </w:r>
            <w:r w:rsidRPr="0028267F">
              <w:t xml:space="preserve"> (0.</w:t>
            </w:r>
            <w:r>
              <w:t>5</w:t>
            </w:r>
            <w:r w:rsidRPr="0028267F">
              <w:t>)</w:t>
            </w:r>
          </w:p>
        </w:tc>
      </w:tr>
    </w:tbl>
    <w:p w14:paraId="0F5BBC9D" w14:textId="77777777" w:rsidR="004F79F4" w:rsidRPr="00B91686" w:rsidRDefault="004F79F4" w:rsidP="00B91686">
      <w:pPr>
        <w:spacing w:line="480" w:lineRule="auto"/>
        <w:rPr>
          <w:rFonts w:cstheme="minorHAnsi"/>
          <w:sz w:val="22"/>
          <w:szCs w:val="22"/>
        </w:rPr>
      </w:pPr>
    </w:p>
    <w:p w14:paraId="3218A276" w14:textId="77777777" w:rsidR="004F79F4" w:rsidRDefault="004F79F4" w:rsidP="00B91686">
      <w:pPr>
        <w:spacing w:line="480" w:lineRule="auto"/>
        <w:rPr>
          <w:rFonts w:cstheme="minorHAnsi"/>
          <w:b/>
          <w:bCs/>
          <w:sz w:val="22"/>
          <w:szCs w:val="22"/>
        </w:rPr>
      </w:pPr>
    </w:p>
    <w:p w14:paraId="60DF05BC" w14:textId="77777777" w:rsidR="004F79F4" w:rsidRDefault="004F79F4" w:rsidP="00B91686">
      <w:pPr>
        <w:spacing w:line="480" w:lineRule="auto"/>
        <w:rPr>
          <w:rFonts w:cstheme="minorHAnsi"/>
          <w:b/>
          <w:bCs/>
          <w:sz w:val="22"/>
          <w:szCs w:val="22"/>
        </w:rPr>
      </w:pPr>
    </w:p>
    <w:p w14:paraId="023019CD" w14:textId="77777777" w:rsidR="004F79F4" w:rsidRDefault="004F79F4" w:rsidP="00B91686">
      <w:pPr>
        <w:spacing w:line="480" w:lineRule="auto"/>
        <w:rPr>
          <w:rFonts w:cstheme="minorHAnsi"/>
          <w:b/>
          <w:bCs/>
          <w:sz w:val="22"/>
          <w:szCs w:val="22"/>
        </w:rPr>
      </w:pPr>
    </w:p>
    <w:p w14:paraId="4F3F62DD" w14:textId="16DFBA29" w:rsidR="004F79F4" w:rsidRDefault="004F79F4" w:rsidP="00B91686">
      <w:pPr>
        <w:spacing w:line="480" w:lineRule="auto"/>
        <w:rPr>
          <w:rFonts w:cstheme="minorHAnsi"/>
          <w:b/>
          <w:bCs/>
          <w:sz w:val="22"/>
          <w:szCs w:val="22"/>
        </w:rPr>
      </w:pPr>
    </w:p>
    <w:p w14:paraId="1FF56E6B" w14:textId="2599C934" w:rsidR="001C523E" w:rsidRDefault="001C523E" w:rsidP="00B91686">
      <w:pPr>
        <w:spacing w:line="480" w:lineRule="auto"/>
        <w:rPr>
          <w:rFonts w:cstheme="minorHAnsi"/>
          <w:b/>
          <w:bCs/>
          <w:sz w:val="22"/>
          <w:szCs w:val="22"/>
        </w:rPr>
      </w:pPr>
    </w:p>
    <w:p w14:paraId="0AF8BC58" w14:textId="63661C68" w:rsidR="001C523E" w:rsidRDefault="001C523E" w:rsidP="00B91686">
      <w:pPr>
        <w:spacing w:line="480" w:lineRule="auto"/>
        <w:rPr>
          <w:rFonts w:cstheme="minorHAnsi"/>
          <w:b/>
          <w:bCs/>
          <w:sz w:val="22"/>
          <w:szCs w:val="22"/>
        </w:rPr>
      </w:pPr>
      <w:r>
        <w:rPr>
          <w:rFonts w:cstheme="minorHAnsi"/>
          <w:b/>
          <w:bCs/>
          <w:sz w:val="22"/>
          <w:szCs w:val="22"/>
        </w:rPr>
        <w:t xml:space="preserve">Supp. Table 3. </w:t>
      </w:r>
      <w:r w:rsidRPr="00331EA1">
        <w:rPr>
          <w:rFonts w:cstheme="minorHAnsi"/>
          <w:sz w:val="22"/>
          <w:szCs w:val="22"/>
        </w:rPr>
        <w:t xml:space="preserve">Day 1 </w:t>
      </w:r>
      <w:proofErr w:type="spellStart"/>
      <w:r w:rsidRPr="00331EA1">
        <w:rPr>
          <w:rFonts w:cstheme="minorHAnsi"/>
          <w:sz w:val="22"/>
          <w:szCs w:val="22"/>
        </w:rPr>
        <w:t>sTM</w:t>
      </w:r>
      <w:proofErr w:type="spellEnd"/>
      <w:r w:rsidRPr="00331EA1">
        <w:rPr>
          <w:rFonts w:cstheme="minorHAnsi"/>
          <w:sz w:val="22"/>
          <w:szCs w:val="22"/>
        </w:rPr>
        <w:t xml:space="preserve"> Correlates with Mortality.</w:t>
      </w:r>
      <w:r>
        <w:rPr>
          <w:rFonts w:cstheme="minorHAnsi"/>
          <w:b/>
          <w:bCs/>
          <w:sz w:val="22"/>
          <w:szCs w:val="22"/>
        </w:rPr>
        <w:t xml:space="preserve"> </w:t>
      </w:r>
    </w:p>
    <w:tbl>
      <w:tblPr>
        <w:tblStyle w:val="PlainTable1"/>
        <w:tblW w:w="0" w:type="auto"/>
        <w:tblLook w:val="04A0" w:firstRow="1" w:lastRow="0" w:firstColumn="1" w:lastColumn="0" w:noHBand="0" w:noVBand="1"/>
      </w:tblPr>
      <w:tblGrid>
        <w:gridCol w:w="3235"/>
        <w:gridCol w:w="2610"/>
        <w:gridCol w:w="990"/>
      </w:tblGrid>
      <w:tr w:rsidR="001C523E" w14:paraId="1F457D2B" w14:textId="77777777" w:rsidTr="00331E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0D61CE7" w14:textId="77777777" w:rsidR="001C523E" w:rsidRPr="00331EA1" w:rsidRDefault="001C523E" w:rsidP="00331EA1">
            <w:r w:rsidRPr="00331EA1">
              <w:t>Covariates</w:t>
            </w:r>
          </w:p>
        </w:tc>
        <w:tc>
          <w:tcPr>
            <w:tcW w:w="2610" w:type="dxa"/>
          </w:tcPr>
          <w:p w14:paraId="311F67D1" w14:textId="77777777" w:rsidR="001C523E" w:rsidRPr="00331EA1" w:rsidRDefault="001C523E" w:rsidP="00331EA1">
            <w:pPr>
              <w:cnfStyle w:val="100000000000" w:firstRow="1" w:lastRow="0" w:firstColumn="0" w:lastColumn="0" w:oddVBand="0" w:evenVBand="0" w:oddHBand="0" w:evenHBand="0" w:firstRowFirstColumn="0" w:firstRowLastColumn="0" w:lastRowFirstColumn="0" w:lastRowLastColumn="0"/>
            </w:pPr>
            <w:r w:rsidRPr="00331EA1">
              <w:t>OR (95% CI)</w:t>
            </w:r>
          </w:p>
        </w:tc>
        <w:tc>
          <w:tcPr>
            <w:tcW w:w="990" w:type="dxa"/>
          </w:tcPr>
          <w:p w14:paraId="1CDE829D" w14:textId="77777777" w:rsidR="001C523E" w:rsidRPr="00331EA1" w:rsidRDefault="001C523E" w:rsidP="00331EA1">
            <w:pPr>
              <w:cnfStyle w:val="100000000000" w:firstRow="1" w:lastRow="0" w:firstColumn="0" w:lastColumn="0" w:oddVBand="0" w:evenVBand="0" w:oddHBand="0" w:evenHBand="0" w:firstRowFirstColumn="0" w:firstRowLastColumn="0" w:lastRowFirstColumn="0" w:lastRowLastColumn="0"/>
            </w:pPr>
            <w:r w:rsidRPr="00331EA1">
              <w:t>P Value</w:t>
            </w:r>
          </w:p>
        </w:tc>
      </w:tr>
      <w:tr w:rsidR="001C523E" w14:paraId="315BBDB4" w14:textId="77777777" w:rsidTr="0033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7DF9853" w14:textId="77777777" w:rsidR="001C523E" w:rsidRPr="00331EA1" w:rsidRDefault="001C523E" w:rsidP="00331EA1">
            <w:proofErr w:type="spellStart"/>
            <w:r w:rsidRPr="00331EA1">
              <w:t>sTM</w:t>
            </w:r>
            <w:proofErr w:type="spellEnd"/>
            <w:r w:rsidRPr="00331EA1">
              <w:t xml:space="preserve"> day 1</w:t>
            </w:r>
          </w:p>
        </w:tc>
        <w:tc>
          <w:tcPr>
            <w:tcW w:w="2610" w:type="dxa"/>
          </w:tcPr>
          <w:p w14:paraId="67E38519" w14:textId="77777777" w:rsidR="001C523E" w:rsidRPr="00331EA1" w:rsidRDefault="001C523E" w:rsidP="00331EA1">
            <w:pPr>
              <w:cnfStyle w:val="000000100000" w:firstRow="0" w:lastRow="0" w:firstColumn="0" w:lastColumn="0" w:oddVBand="0" w:evenVBand="0" w:oddHBand="1" w:evenHBand="0" w:firstRowFirstColumn="0" w:firstRowLastColumn="0" w:lastRowFirstColumn="0" w:lastRowLastColumn="0"/>
            </w:pPr>
            <w:r w:rsidRPr="00331EA1">
              <w:t>1.005 (1.001 – 1.009)</w:t>
            </w:r>
          </w:p>
        </w:tc>
        <w:tc>
          <w:tcPr>
            <w:tcW w:w="990" w:type="dxa"/>
          </w:tcPr>
          <w:p w14:paraId="1E76099E" w14:textId="77777777" w:rsidR="001C523E" w:rsidRPr="00331EA1" w:rsidRDefault="001C523E" w:rsidP="00331EA1">
            <w:pPr>
              <w:cnfStyle w:val="000000100000" w:firstRow="0" w:lastRow="0" w:firstColumn="0" w:lastColumn="0" w:oddVBand="0" w:evenVBand="0" w:oddHBand="1" w:evenHBand="0" w:firstRowFirstColumn="0" w:firstRowLastColumn="0" w:lastRowFirstColumn="0" w:lastRowLastColumn="0"/>
            </w:pPr>
            <w:r w:rsidRPr="00331EA1">
              <w:t>0.02</w:t>
            </w:r>
          </w:p>
        </w:tc>
      </w:tr>
      <w:tr w:rsidR="001C523E" w14:paraId="33AF61EA" w14:textId="77777777" w:rsidTr="00331EA1">
        <w:tc>
          <w:tcPr>
            <w:cnfStyle w:val="001000000000" w:firstRow="0" w:lastRow="0" w:firstColumn="1" w:lastColumn="0" w:oddVBand="0" w:evenVBand="0" w:oddHBand="0" w:evenHBand="0" w:firstRowFirstColumn="0" w:firstRowLastColumn="0" w:lastRowFirstColumn="0" w:lastRowLastColumn="0"/>
            <w:tcW w:w="3235" w:type="dxa"/>
          </w:tcPr>
          <w:p w14:paraId="27896AEC" w14:textId="77777777" w:rsidR="001C523E" w:rsidRPr="00331EA1" w:rsidRDefault="001C523E" w:rsidP="00331EA1">
            <w:r w:rsidRPr="00331EA1">
              <w:t>Age (Years)</w:t>
            </w:r>
          </w:p>
        </w:tc>
        <w:tc>
          <w:tcPr>
            <w:tcW w:w="2610" w:type="dxa"/>
          </w:tcPr>
          <w:p w14:paraId="5DD7B2FA" w14:textId="77777777" w:rsidR="001C523E" w:rsidRPr="00331EA1" w:rsidRDefault="001C523E" w:rsidP="00331EA1">
            <w:pPr>
              <w:cnfStyle w:val="000000000000" w:firstRow="0" w:lastRow="0" w:firstColumn="0" w:lastColumn="0" w:oddVBand="0" w:evenVBand="0" w:oddHBand="0" w:evenHBand="0" w:firstRowFirstColumn="0" w:firstRowLastColumn="0" w:lastRowFirstColumn="0" w:lastRowLastColumn="0"/>
            </w:pPr>
            <w:r w:rsidRPr="00331EA1">
              <w:t>1.115 (1.018 – 1.228)</w:t>
            </w:r>
          </w:p>
        </w:tc>
        <w:tc>
          <w:tcPr>
            <w:tcW w:w="990" w:type="dxa"/>
          </w:tcPr>
          <w:p w14:paraId="36FA1975" w14:textId="77777777" w:rsidR="001C523E" w:rsidRPr="00331EA1" w:rsidRDefault="001C523E" w:rsidP="00331EA1">
            <w:pPr>
              <w:cnfStyle w:val="000000000000" w:firstRow="0" w:lastRow="0" w:firstColumn="0" w:lastColumn="0" w:oddVBand="0" w:evenVBand="0" w:oddHBand="0" w:evenHBand="0" w:firstRowFirstColumn="0" w:firstRowLastColumn="0" w:lastRowFirstColumn="0" w:lastRowLastColumn="0"/>
            </w:pPr>
            <w:r w:rsidRPr="00331EA1">
              <w:t>0.02</w:t>
            </w:r>
          </w:p>
        </w:tc>
      </w:tr>
      <w:tr w:rsidR="001C523E" w14:paraId="5AE88A02" w14:textId="77777777" w:rsidTr="0033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6A4C21A0" w14:textId="77777777" w:rsidR="001C523E" w:rsidRPr="00331EA1" w:rsidRDefault="001C523E" w:rsidP="00331EA1">
            <w:r w:rsidRPr="00331EA1">
              <w:t>Sex (Male)</w:t>
            </w:r>
          </w:p>
        </w:tc>
        <w:tc>
          <w:tcPr>
            <w:tcW w:w="2610" w:type="dxa"/>
          </w:tcPr>
          <w:p w14:paraId="05B2EC3E" w14:textId="77777777" w:rsidR="001C523E" w:rsidRPr="00331EA1" w:rsidRDefault="001C523E" w:rsidP="00331EA1">
            <w:pPr>
              <w:cnfStyle w:val="000000100000" w:firstRow="0" w:lastRow="0" w:firstColumn="0" w:lastColumn="0" w:oddVBand="0" w:evenVBand="0" w:oddHBand="1" w:evenHBand="0" w:firstRowFirstColumn="0" w:firstRowLastColumn="0" w:lastRowFirstColumn="0" w:lastRowLastColumn="0"/>
            </w:pPr>
            <w:r w:rsidRPr="00331EA1">
              <w:t>1.300 (0.462 – 3.727)</w:t>
            </w:r>
          </w:p>
        </w:tc>
        <w:tc>
          <w:tcPr>
            <w:tcW w:w="990" w:type="dxa"/>
          </w:tcPr>
          <w:p w14:paraId="3C1DB654" w14:textId="77777777" w:rsidR="001C523E" w:rsidRPr="00331EA1" w:rsidRDefault="001C523E" w:rsidP="00331EA1">
            <w:pPr>
              <w:cnfStyle w:val="000000100000" w:firstRow="0" w:lastRow="0" w:firstColumn="0" w:lastColumn="0" w:oddVBand="0" w:evenVBand="0" w:oddHBand="1" w:evenHBand="0" w:firstRowFirstColumn="0" w:firstRowLastColumn="0" w:lastRowFirstColumn="0" w:lastRowLastColumn="0"/>
            </w:pPr>
            <w:r w:rsidRPr="00331EA1">
              <w:t>0.62</w:t>
            </w:r>
          </w:p>
        </w:tc>
      </w:tr>
      <w:tr w:rsidR="001C523E" w14:paraId="69E65896" w14:textId="77777777" w:rsidTr="00331EA1">
        <w:tc>
          <w:tcPr>
            <w:cnfStyle w:val="001000000000" w:firstRow="0" w:lastRow="0" w:firstColumn="1" w:lastColumn="0" w:oddVBand="0" w:evenVBand="0" w:oddHBand="0" w:evenHBand="0" w:firstRowFirstColumn="0" w:firstRowLastColumn="0" w:lastRowFirstColumn="0" w:lastRowLastColumn="0"/>
            <w:tcW w:w="3235" w:type="dxa"/>
          </w:tcPr>
          <w:p w14:paraId="2603523C" w14:textId="77777777" w:rsidR="001C523E" w:rsidRPr="00331EA1" w:rsidRDefault="001C523E" w:rsidP="00331EA1">
            <w:r w:rsidRPr="00331EA1">
              <w:t>PRISM-III Score</w:t>
            </w:r>
          </w:p>
        </w:tc>
        <w:tc>
          <w:tcPr>
            <w:tcW w:w="2610" w:type="dxa"/>
          </w:tcPr>
          <w:p w14:paraId="687683AA" w14:textId="77777777" w:rsidR="001C523E" w:rsidRPr="00331EA1" w:rsidRDefault="001C523E" w:rsidP="00331EA1">
            <w:pPr>
              <w:cnfStyle w:val="000000000000" w:firstRow="0" w:lastRow="0" w:firstColumn="0" w:lastColumn="0" w:oddVBand="0" w:evenVBand="0" w:oddHBand="0" w:evenHBand="0" w:firstRowFirstColumn="0" w:firstRowLastColumn="0" w:lastRowFirstColumn="0" w:lastRowLastColumn="0"/>
            </w:pPr>
            <w:r w:rsidRPr="00331EA1">
              <w:t>1.035 (0.961 – 1.111)</w:t>
            </w:r>
          </w:p>
        </w:tc>
        <w:tc>
          <w:tcPr>
            <w:tcW w:w="990" w:type="dxa"/>
          </w:tcPr>
          <w:p w14:paraId="25A5EF9E" w14:textId="77777777" w:rsidR="001C523E" w:rsidRPr="00331EA1" w:rsidRDefault="001C523E" w:rsidP="00331EA1">
            <w:pPr>
              <w:cnfStyle w:val="000000000000" w:firstRow="0" w:lastRow="0" w:firstColumn="0" w:lastColumn="0" w:oddVBand="0" w:evenVBand="0" w:oddHBand="0" w:evenHBand="0" w:firstRowFirstColumn="0" w:firstRowLastColumn="0" w:lastRowFirstColumn="0" w:lastRowLastColumn="0"/>
            </w:pPr>
            <w:r w:rsidRPr="00331EA1">
              <w:t>0.35</w:t>
            </w:r>
          </w:p>
        </w:tc>
      </w:tr>
      <w:tr w:rsidR="001C523E" w14:paraId="50000361" w14:textId="77777777" w:rsidTr="0033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4E16AAD" w14:textId="77777777" w:rsidR="001C523E" w:rsidRPr="00331EA1" w:rsidRDefault="001C523E" w:rsidP="00331EA1">
            <w:r w:rsidRPr="00331EA1">
              <w:t>Vasopressor Use</w:t>
            </w:r>
          </w:p>
        </w:tc>
        <w:tc>
          <w:tcPr>
            <w:tcW w:w="2610" w:type="dxa"/>
          </w:tcPr>
          <w:p w14:paraId="16C6562D" w14:textId="77777777" w:rsidR="001C523E" w:rsidRPr="00331EA1" w:rsidRDefault="001C523E" w:rsidP="00331EA1">
            <w:pPr>
              <w:cnfStyle w:val="000000100000" w:firstRow="0" w:lastRow="0" w:firstColumn="0" w:lastColumn="0" w:oddVBand="0" w:evenVBand="0" w:oddHBand="1" w:evenHBand="0" w:firstRowFirstColumn="0" w:firstRowLastColumn="0" w:lastRowFirstColumn="0" w:lastRowLastColumn="0"/>
            </w:pPr>
            <w:r w:rsidRPr="00331EA1">
              <w:t xml:space="preserve">1.259 (0.367 – 4.824) </w:t>
            </w:r>
          </w:p>
        </w:tc>
        <w:tc>
          <w:tcPr>
            <w:tcW w:w="990" w:type="dxa"/>
          </w:tcPr>
          <w:p w14:paraId="51E4C254" w14:textId="77777777" w:rsidR="001C523E" w:rsidRPr="00331EA1" w:rsidRDefault="001C523E" w:rsidP="00331EA1">
            <w:pPr>
              <w:cnfStyle w:val="000000100000" w:firstRow="0" w:lastRow="0" w:firstColumn="0" w:lastColumn="0" w:oddVBand="0" w:evenVBand="0" w:oddHBand="1" w:evenHBand="0" w:firstRowFirstColumn="0" w:firstRowLastColumn="0" w:lastRowFirstColumn="0" w:lastRowLastColumn="0"/>
            </w:pPr>
            <w:r w:rsidRPr="00331EA1">
              <w:t>0.72</w:t>
            </w:r>
          </w:p>
        </w:tc>
      </w:tr>
      <w:tr w:rsidR="001C523E" w14:paraId="0E463D3D" w14:textId="77777777" w:rsidTr="00331EA1">
        <w:tc>
          <w:tcPr>
            <w:cnfStyle w:val="001000000000" w:firstRow="0" w:lastRow="0" w:firstColumn="1" w:lastColumn="0" w:oddVBand="0" w:evenVBand="0" w:oddHBand="0" w:evenHBand="0" w:firstRowFirstColumn="0" w:firstRowLastColumn="0" w:lastRowFirstColumn="0" w:lastRowLastColumn="0"/>
            <w:tcW w:w="3235" w:type="dxa"/>
          </w:tcPr>
          <w:p w14:paraId="2B8E8B8A" w14:textId="77777777" w:rsidR="001C523E" w:rsidRPr="00331EA1" w:rsidRDefault="001C523E" w:rsidP="00331EA1">
            <w:r w:rsidRPr="00331EA1">
              <w:t>Neuromuscular Blockade Use</w:t>
            </w:r>
          </w:p>
        </w:tc>
        <w:tc>
          <w:tcPr>
            <w:tcW w:w="2610" w:type="dxa"/>
          </w:tcPr>
          <w:p w14:paraId="168BE4CF" w14:textId="77777777" w:rsidR="001C523E" w:rsidRPr="00331EA1" w:rsidRDefault="001C523E" w:rsidP="00331EA1">
            <w:pPr>
              <w:cnfStyle w:val="000000000000" w:firstRow="0" w:lastRow="0" w:firstColumn="0" w:lastColumn="0" w:oddVBand="0" w:evenVBand="0" w:oddHBand="0" w:evenHBand="0" w:firstRowFirstColumn="0" w:firstRowLastColumn="0" w:lastRowFirstColumn="0" w:lastRowLastColumn="0"/>
            </w:pPr>
            <w:r w:rsidRPr="00331EA1">
              <w:t xml:space="preserve">3.069 (0.976 – 12.01) </w:t>
            </w:r>
          </w:p>
        </w:tc>
        <w:tc>
          <w:tcPr>
            <w:tcW w:w="990" w:type="dxa"/>
          </w:tcPr>
          <w:p w14:paraId="0FD58B1B" w14:textId="77777777" w:rsidR="001C523E" w:rsidRPr="00331EA1" w:rsidRDefault="001C523E" w:rsidP="00331EA1">
            <w:pPr>
              <w:cnfStyle w:val="000000000000" w:firstRow="0" w:lastRow="0" w:firstColumn="0" w:lastColumn="0" w:oddVBand="0" w:evenVBand="0" w:oddHBand="0" w:evenHBand="0" w:firstRowFirstColumn="0" w:firstRowLastColumn="0" w:lastRowFirstColumn="0" w:lastRowLastColumn="0"/>
            </w:pPr>
            <w:r w:rsidRPr="00331EA1">
              <w:t>0.07</w:t>
            </w:r>
          </w:p>
        </w:tc>
      </w:tr>
    </w:tbl>
    <w:p w14:paraId="0A9425DF" w14:textId="77777777" w:rsidR="00331EA1" w:rsidRDefault="00331EA1" w:rsidP="001C523E">
      <w:pPr>
        <w:rPr>
          <w:rFonts w:cstheme="minorHAnsi"/>
          <w:sz w:val="22"/>
          <w:szCs w:val="22"/>
        </w:rPr>
      </w:pPr>
    </w:p>
    <w:p w14:paraId="17C88A90" w14:textId="59F0EBD5" w:rsidR="001C523E" w:rsidRPr="001C523E" w:rsidRDefault="001C523E" w:rsidP="001C523E">
      <w:pPr>
        <w:rPr>
          <w:rFonts w:cstheme="minorHAnsi"/>
          <w:sz w:val="22"/>
          <w:szCs w:val="22"/>
        </w:rPr>
      </w:pPr>
      <w:r w:rsidRPr="001C523E">
        <w:rPr>
          <w:rFonts w:cstheme="minorHAnsi"/>
          <w:sz w:val="22"/>
          <w:szCs w:val="22"/>
        </w:rPr>
        <w:t>Multivariable Logistic Regression</w:t>
      </w:r>
      <w:r>
        <w:rPr>
          <w:rFonts w:cstheme="minorHAnsi"/>
          <w:sz w:val="22"/>
          <w:szCs w:val="22"/>
        </w:rPr>
        <w:t xml:space="preserve"> model using Day 1 </w:t>
      </w:r>
      <w:proofErr w:type="spellStart"/>
      <w:r>
        <w:rPr>
          <w:rFonts w:cstheme="minorHAnsi"/>
          <w:sz w:val="22"/>
          <w:szCs w:val="22"/>
        </w:rPr>
        <w:t>sTM</w:t>
      </w:r>
      <w:proofErr w:type="spellEnd"/>
      <w:r>
        <w:rPr>
          <w:rFonts w:cstheme="minorHAnsi"/>
          <w:sz w:val="22"/>
          <w:szCs w:val="22"/>
        </w:rPr>
        <w:t xml:space="preserve"> as the predictor variable and </w:t>
      </w:r>
      <w:r w:rsidRPr="001C523E">
        <w:rPr>
          <w:rFonts w:cstheme="minorHAnsi"/>
          <w:sz w:val="22"/>
          <w:szCs w:val="22"/>
        </w:rPr>
        <w:t>adjusting for Vasopressor and Neuromuscular Blockade</w:t>
      </w:r>
      <w:r>
        <w:rPr>
          <w:rFonts w:cstheme="minorHAnsi"/>
          <w:sz w:val="22"/>
          <w:szCs w:val="22"/>
        </w:rPr>
        <w:t xml:space="preserve">. n=233. </w:t>
      </w:r>
    </w:p>
    <w:p w14:paraId="1A40BA56" w14:textId="77777777" w:rsidR="004F79F4" w:rsidRDefault="004F79F4" w:rsidP="00B91686">
      <w:pPr>
        <w:spacing w:line="480" w:lineRule="auto"/>
        <w:rPr>
          <w:rFonts w:cstheme="minorHAnsi"/>
          <w:b/>
          <w:bCs/>
          <w:sz w:val="22"/>
          <w:szCs w:val="22"/>
        </w:rPr>
      </w:pPr>
    </w:p>
    <w:p w14:paraId="7B95D843" w14:textId="1483AAEB" w:rsidR="00FB1835" w:rsidRPr="00B91686" w:rsidRDefault="00FB1835" w:rsidP="00B91686">
      <w:pPr>
        <w:spacing w:line="480" w:lineRule="auto"/>
        <w:rPr>
          <w:rFonts w:cstheme="minorHAnsi"/>
          <w:b/>
          <w:bCs/>
          <w:sz w:val="22"/>
          <w:szCs w:val="22"/>
        </w:rPr>
      </w:pPr>
      <w:r w:rsidRPr="00B91686">
        <w:rPr>
          <w:rFonts w:cstheme="minorHAnsi"/>
          <w:b/>
          <w:bCs/>
          <w:sz w:val="22"/>
          <w:szCs w:val="22"/>
        </w:rPr>
        <w:t>Supplemental Figure Legends</w:t>
      </w:r>
    </w:p>
    <w:p w14:paraId="3DC30DA3" w14:textId="77777777" w:rsidR="00FB1835" w:rsidRPr="00B91686" w:rsidRDefault="00FB1835" w:rsidP="00B91686">
      <w:pPr>
        <w:spacing w:line="480" w:lineRule="auto"/>
        <w:rPr>
          <w:rFonts w:cstheme="minorHAnsi"/>
          <w:sz w:val="22"/>
          <w:szCs w:val="22"/>
        </w:rPr>
      </w:pPr>
    </w:p>
    <w:p w14:paraId="7EEF0525" w14:textId="77777777" w:rsidR="00FB1835" w:rsidRPr="00B91686" w:rsidRDefault="00FB1835" w:rsidP="00B91686">
      <w:pPr>
        <w:spacing w:line="480" w:lineRule="auto"/>
        <w:rPr>
          <w:rFonts w:cstheme="minorHAnsi"/>
          <w:sz w:val="22"/>
          <w:szCs w:val="22"/>
        </w:rPr>
      </w:pPr>
      <w:r w:rsidRPr="00B91686">
        <w:rPr>
          <w:rFonts w:cstheme="minorHAnsi"/>
          <w:sz w:val="22"/>
          <w:szCs w:val="22"/>
        </w:rPr>
        <w:t>Supplemental Figure 1- Venn diagram representing distribution of sampled cohort. Inner circle, in green, represents true study population.</w:t>
      </w:r>
    </w:p>
    <w:p w14:paraId="32A561F7" w14:textId="77777777" w:rsidR="00FB1835" w:rsidRPr="00B91686" w:rsidRDefault="00FB1835" w:rsidP="00B91686">
      <w:pPr>
        <w:spacing w:line="480" w:lineRule="auto"/>
        <w:rPr>
          <w:rFonts w:cstheme="minorHAnsi"/>
          <w:sz w:val="22"/>
          <w:szCs w:val="22"/>
        </w:rPr>
      </w:pPr>
    </w:p>
    <w:p w14:paraId="0DAC0E96" w14:textId="77777777" w:rsidR="00FB1835" w:rsidRPr="00B91686" w:rsidRDefault="00FB1835" w:rsidP="00B91686">
      <w:pPr>
        <w:spacing w:line="480" w:lineRule="auto"/>
        <w:rPr>
          <w:rFonts w:cstheme="minorHAnsi"/>
          <w:sz w:val="22"/>
          <w:szCs w:val="22"/>
        </w:rPr>
      </w:pPr>
      <w:r w:rsidRPr="00B91686">
        <w:rPr>
          <w:rFonts w:cstheme="minorHAnsi"/>
          <w:sz w:val="22"/>
          <w:szCs w:val="22"/>
        </w:rPr>
        <w:t xml:space="preserve">Supplemental Figure 2- </w:t>
      </w:r>
      <w:proofErr w:type="spellStart"/>
      <w:r w:rsidRPr="00B91686">
        <w:rPr>
          <w:rFonts w:cstheme="minorHAnsi"/>
          <w:sz w:val="22"/>
          <w:szCs w:val="22"/>
        </w:rPr>
        <w:t>sTM</w:t>
      </w:r>
      <w:proofErr w:type="spellEnd"/>
      <w:r w:rsidRPr="00B91686">
        <w:rPr>
          <w:rFonts w:cstheme="minorHAnsi"/>
          <w:sz w:val="22"/>
          <w:szCs w:val="22"/>
        </w:rPr>
        <w:t xml:space="preserve"> values were not significantly different between patients who did or did not have PARDS on individual days. Box plot summary of range of </w:t>
      </w:r>
      <w:proofErr w:type="spellStart"/>
      <w:r w:rsidRPr="00B91686">
        <w:rPr>
          <w:rFonts w:cstheme="minorHAnsi"/>
          <w:sz w:val="22"/>
          <w:szCs w:val="22"/>
        </w:rPr>
        <w:t>sTM</w:t>
      </w:r>
      <w:proofErr w:type="spellEnd"/>
      <w:r w:rsidRPr="00B91686">
        <w:rPr>
          <w:rFonts w:cstheme="minorHAnsi"/>
          <w:sz w:val="22"/>
          <w:szCs w:val="22"/>
        </w:rPr>
        <w:t xml:space="preserve"> values by day, grouped by PARDS status on that day. (n= 22 and 34 on day 0, 56 and 78 on day 1, 63 and 90 on day 2, and 41 and 77 on day 3 for those without and with PARDS, respectively; p&gt;0.05 for all days as per Mann Whitney U test). </w:t>
      </w:r>
    </w:p>
    <w:p w14:paraId="1CB83968" w14:textId="77777777" w:rsidR="00FB1835" w:rsidRPr="00B91686" w:rsidRDefault="00FB1835" w:rsidP="00B91686">
      <w:pPr>
        <w:spacing w:line="480" w:lineRule="auto"/>
        <w:rPr>
          <w:rFonts w:cstheme="minorHAnsi"/>
          <w:sz w:val="22"/>
          <w:szCs w:val="22"/>
        </w:rPr>
      </w:pPr>
    </w:p>
    <w:p w14:paraId="7D624376" w14:textId="631B7AF7" w:rsidR="00FB1835" w:rsidRPr="00B91686" w:rsidRDefault="00731F57" w:rsidP="00B91686">
      <w:pPr>
        <w:spacing w:line="480" w:lineRule="auto"/>
        <w:rPr>
          <w:rFonts w:cstheme="minorHAnsi"/>
          <w:sz w:val="22"/>
          <w:szCs w:val="22"/>
        </w:rPr>
      </w:pPr>
      <w:r>
        <w:rPr>
          <w:rFonts w:cstheme="minorHAnsi"/>
          <w:sz w:val="22"/>
          <w:szCs w:val="22"/>
        </w:rPr>
        <w:t xml:space="preserve">References for supplemental material- </w:t>
      </w:r>
    </w:p>
    <w:p w14:paraId="6C5D2BA4" w14:textId="6EA20DD6" w:rsidR="00B91686" w:rsidRPr="00B91686" w:rsidRDefault="00FB1835" w:rsidP="00B91686">
      <w:pPr>
        <w:widowControl w:val="0"/>
        <w:autoSpaceDE w:val="0"/>
        <w:autoSpaceDN w:val="0"/>
        <w:adjustRightInd w:val="0"/>
        <w:spacing w:line="480" w:lineRule="auto"/>
        <w:ind w:left="640" w:hanging="640"/>
        <w:rPr>
          <w:rFonts w:cstheme="minorHAnsi"/>
          <w:noProof/>
          <w:sz w:val="22"/>
          <w:szCs w:val="22"/>
        </w:rPr>
      </w:pPr>
      <w:r w:rsidRPr="00B91686">
        <w:rPr>
          <w:rFonts w:cstheme="minorHAnsi"/>
          <w:sz w:val="22"/>
          <w:szCs w:val="22"/>
        </w:rPr>
        <w:fldChar w:fldCharType="begin" w:fldLock="1"/>
      </w:r>
      <w:r w:rsidRPr="00B91686">
        <w:rPr>
          <w:rFonts w:cstheme="minorHAnsi"/>
          <w:sz w:val="22"/>
          <w:szCs w:val="22"/>
        </w:rPr>
        <w:instrText xml:space="preserve">ADDIN Mendeley Bibliography CSL_BIBLIOGRAPHY </w:instrText>
      </w:r>
      <w:r w:rsidRPr="00B91686">
        <w:rPr>
          <w:rFonts w:cstheme="minorHAnsi"/>
          <w:sz w:val="22"/>
          <w:szCs w:val="22"/>
        </w:rPr>
        <w:fldChar w:fldCharType="separate"/>
      </w:r>
      <w:r w:rsidR="00B91686" w:rsidRPr="00B91686">
        <w:rPr>
          <w:rFonts w:cstheme="minorHAnsi"/>
          <w:noProof/>
          <w:sz w:val="22"/>
          <w:szCs w:val="22"/>
        </w:rPr>
        <w:t xml:space="preserve">1. </w:t>
      </w:r>
      <w:r w:rsidR="00B91686" w:rsidRPr="00B91686">
        <w:rPr>
          <w:rFonts w:cstheme="minorHAnsi"/>
          <w:noProof/>
          <w:sz w:val="22"/>
          <w:szCs w:val="22"/>
        </w:rPr>
        <w:tab/>
        <w:t xml:space="preserve">Curley MAQ, Wypij D, Watson RS, et al. Protocolized Sedation vs Usual Care in Pediatric Patients Mechanically Ventilated for Acute Respiratory Failure. </w:t>
      </w:r>
      <w:r w:rsidR="00B91686" w:rsidRPr="00B91686">
        <w:rPr>
          <w:rFonts w:cstheme="minorHAnsi"/>
          <w:i/>
          <w:iCs/>
          <w:noProof/>
          <w:sz w:val="22"/>
          <w:szCs w:val="22"/>
        </w:rPr>
        <w:t>JAMA</w:t>
      </w:r>
      <w:r w:rsidR="00B91686" w:rsidRPr="00B91686">
        <w:rPr>
          <w:rFonts w:cstheme="minorHAnsi"/>
          <w:noProof/>
          <w:sz w:val="22"/>
          <w:szCs w:val="22"/>
        </w:rPr>
        <w:t>. 2015;313(4):379. doi:10.1001/jama.2014.18399</w:t>
      </w:r>
    </w:p>
    <w:p w14:paraId="4D601CAD" w14:textId="77777777" w:rsidR="00B91686" w:rsidRPr="00B91686" w:rsidRDefault="00B91686" w:rsidP="00B91686">
      <w:pPr>
        <w:widowControl w:val="0"/>
        <w:autoSpaceDE w:val="0"/>
        <w:autoSpaceDN w:val="0"/>
        <w:adjustRightInd w:val="0"/>
        <w:spacing w:line="480" w:lineRule="auto"/>
        <w:ind w:left="640" w:hanging="640"/>
        <w:rPr>
          <w:rFonts w:cstheme="minorHAnsi"/>
          <w:noProof/>
          <w:sz w:val="22"/>
          <w:szCs w:val="22"/>
        </w:rPr>
      </w:pPr>
      <w:r w:rsidRPr="00B91686">
        <w:rPr>
          <w:rFonts w:cstheme="minorHAnsi"/>
          <w:noProof/>
          <w:sz w:val="22"/>
          <w:szCs w:val="22"/>
        </w:rPr>
        <w:t xml:space="preserve">2. </w:t>
      </w:r>
      <w:r w:rsidRPr="00B91686">
        <w:rPr>
          <w:rFonts w:cstheme="minorHAnsi"/>
          <w:noProof/>
          <w:sz w:val="22"/>
          <w:szCs w:val="22"/>
        </w:rPr>
        <w:tab/>
        <w:t xml:space="preserve">Whipp BJ. Physiological mechanisms dissociating pulmonary CO 2 and O 2 exchange dynamics during exercise in humans. </w:t>
      </w:r>
      <w:r w:rsidRPr="00B91686">
        <w:rPr>
          <w:rFonts w:cstheme="minorHAnsi"/>
          <w:i/>
          <w:iCs/>
          <w:noProof/>
          <w:sz w:val="22"/>
          <w:szCs w:val="22"/>
        </w:rPr>
        <w:t>Author J Compil C</w:t>
      </w:r>
      <w:r w:rsidRPr="00B91686">
        <w:rPr>
          <w:rFonts w:cstheme="minorHAnsi"/>
          <w:noProof/>
          <w:sz w:val="22"/>
          <w:szCs w:val="22"/>
        </w:rPr>
        <w:t>. 2007;92:347-355. doi:10.1113/expphysiol.2006.034363</w:t>
      </w:r>
    </w:p>
    <w:p w14:paraId="7B38FA7A" w14:textId="77777777" w:rsidR="00B91686" w:rsidRPr="00B91686" w:rsidRDefault="00B91686" w:rsidP="00B91686">
      <w:pPr>
        <w:widowControl w:val="0"/>
        <w:autoSpaceDE w:val="0"/>
        <w:autoSpaceDN w:val="0"/>
        <w:adjustRightInd w:val="0"/>
        <w:spacing w:line="480" w:lineRule="auto"/>
        <w:ind w:left="640" w:hanging="640"/>
        <w:rPr>
          <w:rFonts w:cstheme="minorHAnsi"/>
          <w:noProof/>
          <w:sz w:val="22"/>
          <w:szCs w:val="22"/>
        </w:rPr>
      </w:pPr>
      <w:r w:rsidRPr="00B91686">
        <w:rPr>
          <w:rFonts w:cstheme="minorHAnsi"/>
          <w:noProof/>
          <w:sz w:val="22"/>
          <w:szCs w:val="22"/>
        </w:rPr>
        <w:t xml:space="preserve">3. </w:t>
      </w:r>
      <w:r w:rsidRPr="00B91686">
        <w:rPr>
          <w:rFonts w:cstheme="minorHAnsi"/>
          <w:noProof/>
          <w:sz w:val="22"/>
          <w:szCs w:val="22"/>
        </w:rPr>
        <w:tab/>
        <w:t xml:space="preserve">Jouvet P, Thomas NJ, Willson DF, et al. Pediatric Acute Respiratory Distress Syndrome: Consensus Recommendations from the Pediatric Acute Lung Injury Consensus Conference. In: </w:t>
      </w:r>
      <w:r w:rsidRPr="00B91686">
        <w:rPr>
          <w:rFonts w:cstheme="minorHAnsi"/>
          <w:i/>
          <w:iCs/>
          <w:noProof/>
          <w:sz w:val="22"/>
          <w:szCs w:val="22"/>
        </w:rPr>
        <w:t>Pediatric Critical Care Medicine</w:t>
      </w:r>
      <w:r w:rsidRPr="00B91686">
        <w:rPr>
          <w:rFonts w:cstheme="minorHAnsi"/>
          <w:noProof/>
          <w:sz w:val="22"/>
          <w:szCs w:val="22"/>
        </w:rPr>
        <w:t>. Vol 16. ; 2015:428-439. doi:10.1097/PCC.0000000000000350</w:t>
      </w:r>
    </w:p>
    <w:p w14:paraId="17DC5865" w14:textId="53EE0E29" w:rsidR="00FB1835" w:rsidRPr="00B91686" w:rsidRDefault="00FB1835" w:rsidP="00B91686">
      <w:pPr>
        <w:widowControl w:val="0"/>
        <w:autoSpaceDE w:val="0"/>
        <w:autoSpaceDN w:val="0"/>
        <w:adjustRightInd w:val="0"/>
        <w:spacing w:line="480" w:lineRule="auto"/>
        <w:ind w:left="640" w:hanging="640"/>
        <w:rPr>
          <w:rFonts w:cstheme="minorHAnsi"/>
          <w:sz w:val="22"/>
          <w:szCs w:val="22"/>
        </w:rPr>
      </w:pPr>
      <w:r w:rsidRPr="00B91686">
        <w:rPr>
          <w:rFonts w:cstheme="minorHAnsi"/>
          <w:sz w:val="22"/>
          <w:szCs w:val="22"/>
        </w:rPr>
        <w:fldChar w:fldCharType="end"/>
      </w:r>
    </w:p>
    <w:sectPr w:rsidR="00FB1835" w:rsidRPr="00B91686" w:rsidSect="00015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9D5"/>
    <w:rsid w:val="0001515A"/>
    <w:rsid w:val="001C523E"/>
    <w:rsid w:val="001F363E"/>
    <w:rsid w:val="00250941"/>
    <w:rsid w:val="00331EA1"/>
    <w:rsid w:val="00380D49"/>
    <w:rsid w:val="003F00AF"/>
    <w:rsid w:val="004F79F4"/>
    <w:rsid w:val="006221D4"/>
    <w:rsid w:val="00690DEC"/>
    <w:rsid w:val="00731F57"/>
    <w:rsid w:val="008C39D5"/>
    <w:rsid w:val="00AA7243"/>
    <w:rsid w:val="00B91686"/>
    <w:rsid w:val="00C31ECB"/>
    <w:rsid w:val="00DA0E55"/>
    <w:rsid w:val="00FB1835"/>
    <w:rsid w:val="00FE0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3BEB6"/>
  <w15:chartTrackingRefBased/>
  <w15:docId w15:val="{BC8DCB86-CDBC-EE4B-93C1-3DE3DFEC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39D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39D5"/>
    <w:rPr>
      <w:rFonts w:ascii="Times New Roman" w:hAnsi="Times New Roman" w:cs="Times New Roman"/>
      <w:sz w:val="18"/>
      <w:szCs w:val="18"/>
    </w:rPr>
  </w:style>
  <w:style w:type="table" w:styleId="TableGrid">
    <w:name w:val="Table Grid"/>
    <w:basedOn w:val="TableNormal"/>
    <w:uiPriority w:val="39"/>
    <w:rsid w:val="001C5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31EA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0296207-A31F-614D-AF1E-0228DAD4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3663</Words>
  <Characters>20884</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 Monteiro, Ana</dc:creator>
  <cp:keywords/>
  <dc:description/>
  <cp:lastModifiedBy>Costa Monteiro, Ana</cp:lastModifiedBy>
  <cp:revision>3</cp:revision>
  <dcterms:created xsi:type="dcterms:W3CDTF">2021-04-12T22:35:00Z</dcterms:created>
  <dcterms:modified xsi:type="dcterms:W3CDTF">2021-04-13T04:04:00Z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8a4f9156-8cab-3462-9c6d-1aa795752f70</vt:lpwstr>
  </property>
  <property fmtid="{D5CDD505-2E9C-101B-9397-08002B2CF9AE}" pid="4" name="Mendeley Citation Style_1">
    <vt:lpwstr>https://csl.mendeley.com/styles/534313271/american-medical-association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http://csl.mendeley.com/styles/534313271/american-medical-association</vt:lpwstr>
  </property>
  <property fmtid="{D5CDD505-2E9C-101B-9397-08002B2CF9AE}" pid="8" name="Mendeley Recent Style Name 1_1">
    <vt:lpwstr>American Medical Association 11th edition - Ana Monteiro, MD, PhD</vt:lpwstr>
  </property>
  <property fmtid="{D5CDD505-2E9C-101B-9397-08002B2CF9AE}" pid="9" name="Mendeley Recent Style Id 2_1">
    <vt:lpwstr>https://csl.mendeley.com/styles/534313271/american-medical-association</vt:lpwstr>
  </property>
  <property fmtid="{D5CDD505-2E9C-101B-9397-08002B2CF9AE}" pid="10" name="Mendeley Recent Style Name 2_1">
    <vt:lpwstr>American Medical Association 11th edition - Ana Monteiro, MD, PhD</vt:lpwstr>
  </property>
  <property fmtid="{D5CDD505-2E9C-101B-9397-08002B2CF9AE}" pid="11" name="Mendeley Recent Style Id 3_1">
    <vt:lpwstr>http://www.zotero.org/styles/american-political-science-association</vt:lpwstr>
  </property>
  <property fmtid="{D5CDD505-2E9C-101B-9397-08002B2CF9AE}" pid="12" name="Mendeley Recent Style Name 3_1">
    <vt:lpwstr>American Political Science Association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