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9055B" w14:textId="77777777" w:rsidR="008B761B" w:rsidRPr="00B836DC" w:rsidRDefault="008B761B" w:rsidP="008B761B">
      <w:pPr>
        <w:rPr>
          <w:rFonts w:ascii="Calibri" w:hAnsi="Calibri" w:cs="Calibri"/>
          <w:b/>
          <w:bCs/>
          <w:sz w:val="22"/>
          <w:szCs w:val="22"/>
          <w:lang w:val="en-GB"/>
        </w:rPr>
      </w:pPr>
      <w:proofErr w:type="spellStart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>eTable</w:t>
      </w:r>
      <w:proofErr w:type="spellEnd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 xml:space="preserve"> 1. Clinical characteristics of patients with and without the physicians' estimation</w:t>
      </w:r>
    </w:p>
    <w:tbl>
      <w:tblPr>
        <w:tblStyle w:val="Lichtelijst"/>
        <w:tblpPr w:leftFromText="141" w:rightFromText="141" w:vertAnchor="text" w:horzAnchor="margin" w:tblpY="132"/>
        <w:tblW w:w="0" w:type="auto"/>
        <w:tblLook w:val="06A0" w:firstRow="1" w:lastRow="0" w:firstColumn="1" w:lastColumn="0" w:noHBand="1" w:noVBand="1"/>
      </w:tblPr>
      <w:tblGrid>
        <w:gridCol w:w="3956"/>
        <w:gridCol w:w="1526"/>
        <w:gridCol w:w="1782"/>
        <w:gridCol w:w="1782"/>
      </w:tblGrid>
      <w:tr w:rsidR="008B761B" w:rsidRPr="001B5AA2" w14:paraId="0D35452D" w14:textId="77777777" w:rsidTr="00A42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B6F4E92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27" w:type="dxa"/>
          </w:tcPr>
          <w:p w14:paraId="08262111" w14:textId="77777777" w:rsidR="008B761B" w:rsidRPr="00B836DC" w:rsidRDefault="008B761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With physicians' estimation</w:t>
            </w:r>
          </w:p>
          <w:p w14:paraId="39CF3D7A" w14:textId="77777777" w:rsidR="008B761B" w:rsidRPr="00B836DC" w:rsidRDefault="008B761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N = 507</w:t>
            </w:r>
          </w:p>
        </w:tc>
        <w:tc>
          <w:tcPr>
            <w:tcW w:w="1783" w:type="dxa"/>
          </w:tcPr>
          <w:p w14:paraId="5E7642EA" w14:textId="77777777" w:rsidR="008B761B" w:rsidRPr="00B836DC" w:rsidRDefault="008B761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Without physicians' estimation</w:t>
            </w:r>
          </w:p>
          <w:p w14:paraId="79F203CA" w14:textId="77777777" w:rsidR="008B761B" w:rsidRPr="00B836DC" w:rsidRDefault="008B761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iCs/>
                <w:sz w:val="20"/>
                <w:szCs w:val="20"/>
                <w:lang w:val="en-US"/>
              </w:rPr>
              <w:t>N = 320</w:t>
            </w:r>
          </w:p>
        </w:tc>
        <w:tc>
          <w:tcPr>
            <w:tcW w:w="1783" w:type="dxa"/>
          </w:tcPr>
          <w:p w14:paraId="54885517" w14:textId="77777777" w:rsidR="008B761B" w:rsidRPr="00B836DC" w:rsidRDefault="008B761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8B761B" w:rsidRPr="00B836DC" w14:paraId="25714EF4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FAB7F73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Age, years (SD)</w:t>
            </w:r>
          </w:p>
          <w:p w14:paraId="01455026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Sex, male (%)</w:t>
            </w:r>
          </w:p>
          <w:p w14:paraId="5B206E76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BMI, kg/m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(SD)</w:t>
            </w:r>
          </w:p>
          <w:p w14:paraId="063A889A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Diabetes mellitus, n (%)</w:t>
            </w:r>
          </w:p>
          <w:p w14:paraId="0E9731D2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Liver cirrhosis, n (%)</w:t>
            </w:r>
          </w:p>
          <w:p w14:paraId="595F0FC4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Mechanical ventilation at inclusion, n (%)</w:t>
            </w:r>
          </w:p>
          <w:p w14:paraId="2EECC12C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SAPS II, score (SD)</w:t>
            </w:r>
          </w:p>
          <w:p w14:paraId="4BBB8F33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APACHE IV, score (SD)</w:t>
            </w:r>
          </w:p>
          <w:p w14:paraId="757165AD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Central circulation</w:t>
            </w:r>
          </w:p>
        </w:tc>
        <w:tc>
          <w:tcPr>
            <w:tcW w:w="1527" w:type="dxa"/>
            <w:vAlign w:val="center"/>
          </w:tcPr>
          <w:p w14:paraId="1A5688FF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60 (15)</w:t>
            </w:r>
          </w:p>
          <w:p w14:paraId="04D26EE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304 (60)</w:t>
            </w:r>
          </w:p>
          <w:p w14:paraId="17F4C28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23D844A9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93 (18)</w:t>
            </w:r>
          </w:p>
          <w:p w14:paraId="3ACECC0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24 (5)</w:t>
            </w:r>
          </w:p>
          <w:p w14:paraId="2A761112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264 (52)</w:t>
            </w:r>
          </w:p>
          <w:p w14:paraId="0E79A1EE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41 (18)</w:t>
            </w:r>
          </w:p>
          <w:p w14:paraId="6B45D863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70 (33)</w:t>
            </w:r>
          </w:p>
          <w:p w14:paraId="718B3F4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0606930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61 (16)</w:t>
            </w:r>
          </w:p>
          <w:p w14:paraId="45435B7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202 (63)</w:t>
            </w:r>
          </w:p>
          <w:p w14:paraId="4418E1F6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09A16C4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54 (17)</w:t>
            </w:r>
          </w:p>
          <w:p w14:paraId="10C334A3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15 (5)</w:t>
            </w:r>
          </w:p>
          <w:p w14:paraId="2BC7131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164 (51)</w:t>
            </w:r>
          </w:p>
          <w:p w14:paraId="0F33B325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41 (15)</w:t>
            </w:r>
          </w:p>
          <w:p w14:paraId="4D6C53DA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69 (28)</w:t>
            </w:r>
          </w:p>
          <w:p w14:paraId="4FD9C1F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6FF3E10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0.17</w:t>
            </w:r>
          </w:p>
          <w:p w14:paraId="7A0D76E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0.36</w:t>
            </w:r>
          </w:p>
          <w:p w14:paraId="71976B55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0.78</w:t>
            </w:r>
          </w:p>
          <w:p w14:paraId="58FD9FFA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0.59</w:t>
            </w:r>
          </w:p>
          <w:p w14:paraId="14EF1CA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0.97</w:t>
            </w:r>
          </w:p>
          <w:p w14:paraId="342AFC8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0.82</w:t>
            </w:r>
          </w:p>
          <w:p w14:paraId="7027647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0.98</w:t>
            </w:r>
          </w:p>
          <w:p w14:paraId="32453E3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0.48</w:t>
            </w:r>
          </w:p>
        </w:tc>
      </w:tr>
      <w:tr w:rsidR="008B761B" w:rsidRPr="00B836DC" w14:paraId="61921F51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06EEA13D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Respiratory rate,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  <w:vAlign w:val="center"/>
          </w:tcPr>
          <w:p w14:paraId="0BAC564A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18 (6)</w:t>
            </w:r>
          </w:p>
        </w:tc>
        <w:tc>
          <w:tcPr>
            <w:tcW w:w="1783" w:type="dxa"/>
          </w:tcPr>
          <w:p w14:paraId="6D77000A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 (6)</w:t>
            </w:r>
          </w:p>
        </w:tc>
        <w:tc>
          <w:tcPr>
            <w:tcW w:w="1783" w:type="dxa"/>
          </w:tcPr>
          <w:p w14:paraId="0949717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0.51</w:t>
            </w:r>
          </w:p>
        </w:tc>
      </w:tr>
      <w:tr w:rsidR="008B761B" w:rsidRPr="00B836DC" w14:paraId="36E28965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3DC85EC3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Heart rate, beats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4AE82DB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89 (23)</w:t>
            </w:r>
          </w:p>
        </w:tc>
        <w:tc>
          <w:tcPr>
            <w:tcW w:w="1783" w:type="dxa"/>
          </w:tcPr>
          <w:p w14:paraId="482F8FC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92 (23)</w:t>
            </w:r>
          </w:p>
        </w:tc>
        <w:tc>
          <w:tcPr>
            <w:tcW w:w="1783" w:type="dxa"/>
          </w:tcPr>
          <w:p w14:paraId="63AB1F7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0.063</w:t>
            </w:r>
          </w:p>
        </w:tc>
      </w:tr>
      <w:tr w:rsidR="008B761B" w:rsidRPr="00B836DC" w14:paraId="5B6C2B5F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BBDC2E1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Systolic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</w:tc>
        <w:tc>
          <w:tcPr>
            <w:tcW w:w="1527" w:type="dxa"/>
          </w:tcPr>
          <w:p w14:paraId="29EA0DC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118 (28)</w:t>
            </w:r>
          </w:p>
        </w:tc>
        <w:tc>
          <w:tcPr>
            <w:tcW w:w="1783" w:type="dxa"/>
          </w:tcPr>
          <w:p w14:paraId="131E5AB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119 (27)</w:t>
            </w:r>
          </w:p>
        </w:tc>
        <w:tc>
          <w:tcPr>
            <w:tcW w:w="1783" w:type="dxa"/>
          </w:tcPr>
          <w:p w14:paraId="0E89E6E9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0.81</w:t>
            </w:r>
          </w:p>
        </w:tc>
      </w:tr>
      <w:tr w:rsidR="008B761B" w:rsidRPr="00B836DC" w14:paraId="4792477E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FC8B43A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Diastolic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  <w:p w14:paraId="31B6F14F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 xml:space="preserve">Mean arterial pressure, mmHg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52542E2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62 (14)</w:t>
            </w:r>
          </w:p>
          <w:p w14:paraId="027C6352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81 (21)</w:t>
            </w:r>
          </w:p>
        </w:tc>
        <w:tc>
          <w:tcPr>
            <w:tcW w:w="1783" w:type="dxa"/>
          </w:tcPr>
          <w:p w14:paraId="78FAF4A3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63 (13)</w:t>
            </w:r>
          </w:p>
          <w:p w14:paraId="4E8805BB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82 (21)</w:t>
            </w:r>
          </w:p>
        </w:tc>
        <w:tc>
          <w:tcPr>
            <w:tcW w:w="1783" w:type="dxa"/>
          </w:tcPr>
          <w:p w14:paraId="5350B2B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0.28</w:t>
            </w:r>
          </w:p>
          <w:p w14:paraId="59E52A3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0.58</w:t>
            </w:r>
          </w:p>
        </w:tc>
      </w:tr>
      <w:tr w:rsidR="008B761B" w:rsidRPr="00B836DC" w14:paraId="67AFFE30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1CD84BD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Use of vasopressors at inclusion, n (%)</w:t>
            </w:r>
          </w:p>
          <w:p w14:paraId="546A29F0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Organ perfusion</w:t>
            </w:r>
          </w:p>
          <w:p w14:paraId="07D7CFE1" w14:textId="77777777" w:rsidR="008B761B" w:rsidRPr="00B836DC" w:rsidRDefault="008B761B" w:rsidP="00A42D35">
            <w:pPr>
              <w:pStyle w:val="Geenafstand"/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  <w:t>Consciousness</w:t>
            </w:r>
          </w:p>
        </w:tc>
        <w:tc>
          <w:tcPr>
            <w:tcW w:w="1527" w:type="dxa"/>
          </w:tcPr>
          <w:p w14:paraId="7D4EAF9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229 (45)</w:t>
            </w:r>
          </w:p>
          <w:p w14:paraId="4EB357A6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783" w:type="dxa"/>
          </w:tcPr>
          <w:p w14:paraId="513657D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147 (46)</w:t>
            </w:r>
          </w:p>
        </w:tc>
        <w:tc>
          <w:tcPr>
            <w:tcW w:w="1783" w:type="dxa"/>
          </w:tcPr>
          <w:p w14:paraId="2CD4B976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0.83</w:t>
            </w:r>
          </w:p>
          <w:p w14:paraId="77DB9BF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EFC149F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</w:rPr>
              <w:t>0.88</w:t>
            </w:r>
          </w:p>
        </w:tc>
      </w:tr>
      <w:tr w:rsidR="008B761B" w:rsidRPr="00B836DC" w14:paraId="2EDD3195" w14:textId="77777777" w:rsidTr="00A42D35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65B75CE3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Alert,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n (%)</w:t>
            </w:r>
          </w:p>
          <w:p w14:paraId="46736E6B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voice, n (%)</w:t>
            </w:r>
          </w:p>
          <w:p w14:paraId="555FE5AC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pain, n (%)</w:t>
            </w:r>
          </w:p>
          <w:p w14:paraId="5AFAD96A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Unresponsive, n (%)</w:t>
            </w:r>
          </w:p>
          <w:p w14:paraId="6473A0DB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42EEDA3C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Central temperature, °C (SD)</w:t>
            </w:r>
          </w:p>
          <w:p w14:paraId="6037001E" w14:textId="77777777" w:rsidR="008B761B" w:rsidRPr="00B836DC" w:rsidRDefault="008B761B" w:rsidP="00A42D35">
            <w:pPr>
              <w:rPr>
                <w:rFonts w:ascii="Calibri" w:eastAsia="Times New Roman" w:hAnsi="Calibri" w:cs="Calibri"/>
                <w:b w:val="0"/>
                <w:color w:val="000000" w:themeColor="text1"/>
                <w:sz w:val="20"/>
                <w:szCs w:val="20"/>
                <w:lang w:val="en-US" w:eastAsia="nl-NL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Temperature dorsum foot, °C (SD)</w:t>
            </w:r>
          </w:p>
          <w:p w14:paraId="390C7450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Cold extremities, subjective, n (%)</w:t>
            </w:r>
          </w:p>
          <w:p w14:paraId="2DD6ECBE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sternum, s (SD)</w:t>
            </w:r>
          </w:p>
          <w:p w14:paraId="2944FA09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knee, s (SD)</w:t>
            </w:r>
          </w:p>
          <w:p w14:paraId="5638E9E9" w14:textId="77777777" w:rsidR="008B761B" w:rsidRPr="00B836DC" w:rsidRDefault="008B761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Skin mottling </w:t>
            </w:r>
            <w:proofErr w:type="spellStart"/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severity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607263CA" w14:textId="77777777" w:rsidR="008B761B" w:rsidRPr="00B836DC" w:rsidRDefault="008B761B" w:rsidP="008B761B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Mild (0-1)</w:t>
            </w:r>
          </w:p>
          <w:p w14:paraId="1F6B158D" w14:textId="77777777" w:rsidR="008B761B" w:rsidRPr="00B836DC" w:rsidRDefault="008B761B" w:rsidP="008B761B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Moderate (2-3)</w:t>
            </w:r>
          </w:p>
          <w:p w14:paraId="6A267B8A" w14:textId="77777777" w:rsidR="008B761B" w:rsidRPr="00B836DC" w:rsidRDefault="008B761B" w:rsidP="008B761B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Severe (4-5)</w:t>
            </w:r>
          </w:p>
        </w:tc>
        <w:tc>
          <w:tcPr>
            <w:tcW w:w="1527" w:type="dxa"/>
          </w:tcPr>
          <w:p w14:paraId="615E5B9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331 (66)</w:t>
            </w:r>
          </w:p>
          <w:p w14:paraId="7BED60E3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63 (13)</w:t>
            </w:r>
          </w:p>
          <w:p w14:paraId="5CAACFE9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11 (2)</w:t>
            </w:r>
          </w:p>
          <w:p w14:paraId="1FF709C5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97 (19)</w:t>
            </w:r>
          </w:p>
          <w:p w14:paraId="633E8229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7014568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37 (1)</w:t>
            </w:r>
          </w:p>
          <w:p w14:paraId="5749627F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30 (3)</w:t>
            </w:r>
          </w:p>
          <w:p w14:paraId="355484F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160 (32)</w:t>
            </w:r>
          </w:p>
          <w:p w14:paraId="067DE7FA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 (1)</w:t>
            </w:r>
          </w:p>
          <w:p w14:paraId="2739190B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 (2)</w:t>
            </w:r>
          </w:p>
          <w:p w14:paraId="54828FD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2FD41015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419 (83%)</w:t>
            </w:r>
          </w:p>
          <w:p w14:paraId="7579B038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51 (10%)</w:t>
            </w:r>
          </w:p>
          <w:p w14:paraId="586A563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 (&lt;1%)</w:t>
            </w:r>
          </w:p>
        </w:tc>
        <w:tc>
          <w:tcPr>
            <w:tcW w:w="1783" w:type="dxa"/>
          </w:tcPr>
          <w:p w14:paraId="02798DC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217 (68)</w:t>
            </w:r>
          </w:p>
          <w:p w14:paraId="0C404444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39 (12)</w:t>
            </w:r>
          </w:p>
          <w:p w14:paraId="188790B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6 (2)</w:t>
            </w:r>
          </w:p>
          <w:p w14:paraId="23C6925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55 (17)</w:t>
            </w:r>
          </w:p>
          <w:p w14:paraId="13E7BE4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3C7A5B6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37 (1)</w:t>
            </w:r>
          </w:p>
          <w:p w14:paraId="3D115ED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30 (3)</w:t>
            </w:r>
          </w:p>
          <w:p w14:paraId="5E6F325E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92 (33)</w:t>
            </w:r>
          </w:p>
          <w:p w14:paraId="6AEC340F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 (1)</w:t>
            </w:r>
          </w:p>
          <w:p w14:paraId="02962395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3 (2)</w:t>
            </w:r>
          </w:p>
          <w:p w14:paraId="54DFAF9E" w14:textId="77777777" w:rsidR="008B761B" w:rsidRPr="00B836DC" w:rsidRDefault="008B761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24612BDA" w14:textId="77777777" w:rsidR="008B761B" w:rsidRPr="00B836DC" w:rsidRDefault="008B761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219 (68%)</w:t>
            </w:r>
          </w:p>
          <w:p w14:paraId="3EDC0072" w14:textId="77777777" w:rsidR="008B761B" w:rsidRPr="00B836DC" w:rsidRDefault="008B761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21 (7%)</w:t>
            </w:r>
          </w:p>
          <w:p w14:paraId="1909DC60" w14:textId="77777777" w:rsidR="008B761B" w:rsidRPr="00B836DC" w:rsidRDefault="008B761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2 (&lt;1%)</w:t>
            </w:r>
          </w:p>
        </w:tc>
        <w:tc>
          <w:tcPr>
            <w:tcW w:w="1783" w:type="dxa"/>
          </w:tcPr>
          <w:p w14:paraId="2A5802E0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0D73277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15BDBCC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2AFFC8C7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31C653C2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  <w:p w14:paraId="20880EA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0.45</w:t>
            </w:r>
          </w:p>
          <w:p w14:paraId="1EA7A41E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0.67</w:t>
            </w:r>
          </w:p>
          <w:p w14:paraId="204FDF41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0.88</w:t>
            </w:r>
          </w:p>
          <w:p w14:paraId="3334779D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0.34</w:t>
            </w:r>
          </w:p>
          <w:p w14:paraId="7EDD81F2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0.49</w:t>
            </w:r>
          </w:p>
          <w:p w14:paraId="12CF1ECC" w14:textId="77777777" w:rsidR="008B761B" w:rsidRPr="00B836DC" w:rsidRDefault="008B761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36DC">
              <w:rPr>
                <w:rFonts w:ascii="Calibri" w:hAnsi="Calibri" w:cs="Calibri"/>
                <w:sz w:val="20"/>
                <w:szCs w:val="20"/>
              </w:rPr>
              <w:t>0.16</w:t>
            </w:r>
          </w:p>
        </w:tc>
      </w:tr>
    </w:tbl>
    <w:p w14:paraId="76C3E0D1" w14:textId="77777777" w:rsidR="008B761B" w:rsidRPr="00B836DC" w:rsidRDefault="008B761B" w:rsidP="008B761B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lang w:val="en-US"/>
        </w:rPr>
        <w:t>Abbreviations: SD = standard deviation, BMI = Body Mass Index, APACHE IV = acute physiology, and chronic health evaluation.</w:t>
      </w:r>
    </w:p>
    <w:p w14:paraId="53949AE6" w14:textId="22EA594C" w:rsidR="008B761B" w:rsidRDefault="008B761B" w:rsidP="008B761B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vertAlign w:val="superscript"/>
          <w:lang w:val="en-US"/>
        </w:rPr>
        <w:t xml:space="preserve">a </w:t>
      </w:r>
      <w:r w:rsidRPr="00B836DC">
        <w:rPr>
          <w:rFonts w:ascii="Calibri" w:hAnsi="Calibri" w:cs="Calibri"/>
          <w:sz w:val="20"/>
          <w:szCs w:val="20"/>
          <w:lang w:val="en-US"/>
        </w:rPr>
        <w:t xml:space="preserve">Mottling was scored according to </w:t>
      </w:r>
      <w:proofErr w:type="spellStart"/>
      <w:r w:rsidRPr="00B836DC">
        <w:rPr>
          <w:rFonts w:ascii="Calibri" w:hAnsi="Calibri" w:cs="Calibri"/>
          <w:sz w:val="20"/>
          <w:szCs w:val="20"/>
          <w:lang w:val="en-US"/>
        </w:rPr>
        <w:t>Ait-Ouffella</w:t>
      </w:r>
      <w:proofErr w:type="spellEnd"/>
      <w:r w:rsidRPr="00B836DC">
        <w:rPr>
          <w:rFonts w:ascii="Calibri" w:hAnsi="Calibri" w:cs="Calibri"/>
          <w:sz w:val="20"/>
          <w:szCs w:val="20"/>
          <w:lang w:val="en-US"/>
        </w:rPr>
        <w:t xml:space="preserve"> et al. 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>
        <w:rPr>
          <w:rFonts w:ascii="Calibri" w:hAnsi="Calibri" w:cs="Calibri"/>
          <w:sz w:val="20"/>
          <w:szCs w:val="20"/>
          <w:lang w:val="en-US"/>
        </w:rPr>
        <w:instrText>ADDIN CSL_CITATION {"citationItems":[{"id":"ITEM-1","itemData":{"DOI":"10.1007/s00134-011-2163-y","ISSN":"03424642","abstract":"Experimental and clinical studies have identified a crucial role of microcirculation impairment in severe infections. We hypothesized that mottling, a sign of microcirculation alterations, was correlated to survival during septic shock. We conducted a prospective observational study in a tertiary teaching hospital. All consecutive patients with septic shock were included during a 7-month period. After initial resuscitation, we recorded hemodynamic parameters and analyzed their predictive value on mortality. The mottling score (from 0 to 5), based on mottling area extension from the knees to the periphery, was very reproducible, with an excellent agreement between independent observers [kappa = 0.87, 95% CI (0.72-0.97)]. Sixty patients were included. The SOFA score was 11.5 (8.5-14.5), SAPS II was 59 (45-71) and the 14-day mortality rate 45% [95% CI (33-58)] . Six hours after inclusion, oliguria [OR 10.8 95% CI (2.9, 52.8), p = 0.001], arterial lactate level [ &lt; 1.5 OR 1; between 1.5 and 3 OR 3.8 (0.7-29.5);  &gt; 3 OR 9.6 (2.1-70.6), p = 0.01] and mottling score [score 0-1 OR 1; score 2-3 OR 16, 95% CI (4-81); score 4-5 OR 74, 95% CI (11-1,568), p  &lt;  0.0001] were strongly associated with 14-day mortality, whereas the mean arterial pressure, central venous pressure and cardiac index were not. The higher the mottling score was, the earlier death occurred (p  &lt;  0.0001). Patients whose mottling score decreased during the resuscitation period had a better prognosis (14-day mortality 77 vs. 12%, p = 0.0005). The mottling score is reproducible and easy to evaluate at the bedside. The mottling score as well as its variation during resuscitation is a strong predictor of 14-day survival in patients with septic shock. © 2011 Copyright jointly held by Springer and ESICM.","author":[{"dropping-particle":"","family":"Ait-Oufella","given":"H.","non-dropping-particle":"","parse-names":false,"suffix":""},{"dropping-particle":"","family":"Lemoinne","given":"S.","non-dropping-particle":"","parse-names":false,"suffix":""},{"dropping-particle":"","family":"Boelle","given":"P. Y.","non-dropping-particle":"","parse-names":false,"suffix":""},{"dropping-particle":"","family":"Galbois","given":"A.","non-dropping-particle":"","parse-names":false,"suffix":""},{"dropping-particle":"","family":"Baudel","given":"J. L.","non-dropping-particle":"","parse-names":false,"suffix":""},{"dropping-particle":"","family":"Lemant","given":"J.","non-dropping-particle":"","parse-names":false,"suffix":""},{"dropping-particle":"","family":"Joffre","given":"J.","non-dropping-particle":"","parse-names":false,"suffix":""},{"dropping-particle":"","family":"Margetis","given":"D.","non-dropping-particle":"","parse-names":false,"suffix":""},{"dropping-particle":"","family":"Guidet","given":"B.","non-dropping-particle":"","parse-names":false,"suffix":""},{"dropping-particle":"","family":"Maury","given":"E.","non-dropping-particle":"","parse-names":false,"suffix":""},{"dropping-particle":"","family":"Offenstadt","given":"G.","non-dropping-particle":"","parse-names":false,"suffix":""}],"container-title":"Intensive Care Medicine","id":"ITEM-1","issue":"5","issued":{"date-parts":[["2011","5"]]},"page":"801-807","title":"Mottling score predicts survival in septic shock","type":"article-journal","volume":"37"},"uris":["http://www.mendeley.com/documents/?uuid=df8d892d-227d-339c-b7d8-dbcf48212e48"]}],"mendeley":{"formattedCitation":"&lt;sup&gt;1&lt;/sup&gt;","plainTextFormattedCitation":"1","previouslyFormattedCitation":"&lt;sup&gt;1&lt;/sup&gt;"},"properties":{"noteIndex":0},"schema":"https://github.com/citation-style-language/schema/raw/master/csl-citation.json"}</w:instrTex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9010C1">
        <w:rPr>
          <w:rFonts w:ascii="Calibri" w:hAnsi="Calibri" w:cs="Calibri"/>
          <w:noProof/>
          <w:sz w:val="20"/>
          <w:szCs w:val="20"/>
          <w:vertAlign w:val="superscript"/>
          <w:lang w:val="en-US"/>
        </w:rPr>
        <w:t>1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3F0EEC14" w14:textId="3A83903C" w:rsidR="008B761B" w:rsidRDefault="008B761B" w:rsidP="008B761B">
      <w:pPr>
        <w:pStyle w:val="Geenafstand"/>
        <w:rPr>
          <w:rFonts w:ascii="Calibri" w:hAnsi="Calibri" w:cs="Calibri"/>
          <w:sz w:val="20"/>
          <w:szCs w:val="20"/>
          <w:lang w:val="en-US"/>
        </w:rPr>
      </w:pPr>
    </w:p>
    <w:p w14:paraId="644126E2" w14:textId="327DAB2E" w:rsidR="008B761B" w:rsidRDefault="008B761B" w:rsidP="008B761B">
      <w:pPr>
        <w:pStyle w:val="Geenafstand"/>
        <w:rPr>
          <w:rFonts w:ascii="Calibri" w:hAnsi="Calibri" w:cs="Calibri"/>
          <w:sz w:val="20"/>
          <w:szCs w:val="20"/>
          <w:lang w:val="en-US"/>
        </w:rPr>
      </w:pPr>
    </w:p>
    <w:p w14:paraId="19268CC9" w14:textId="50C352D5" w:rsidR="008B761B" w:rsidRPr="008B761B" w:rsidRDefault="008B761B" w:rsidP="008B761B">
      <w:pPr>
        <w:widowControl w:val="0"/>
        <w:autoSpaceDE w:val="0"/>
        <w:autoSpaceDN w:val="0"/>
        <w:adjustRightInd w:val="0"/>
        <w:ind w:left="640" w:hanging="640"/>
        <w:rPr>
          <w:rFonts w:ascii="Calibri" w:hAnsi="Calibri" w:cs="Calibri"/>
          <w:noProof/>
          <w:sz w:val="20"/>
        </w:rPr>
      </w:pPr>
      <w:r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>
        <w:rPr>
          <w:rFonts w:ascii="Calibri" w:hAnsi="Calibri" w:cs="Calibri"/>
          <w:sz w:val="20"/>
          <w:szCs w:val="20"/>
          <w:lang w:val="en-US"/>
        </w:rPr>
        <w:instrText xml:space="preserve">ADDIN Mendeley Bibliography CSL_BIBLIOGRAPHY </w:instrText>
      </w:r>
      <w:r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8B761B">
        <w:rPr>
          <w:rFonts w:ascii="Calibri" w:hAnsi="Calibri" w:cs="Calibri"/>
          <w:noProof/>
          <w:sz w:val="20"/>
        </w:rPr>
        <w:t xml:space="preserve">1. </w:t>
      </w:r>
      <w:r w:rsidRPr="008B761B">
        <w:rPr>
          <w:rFonts w:ascii="Calibri" w:hAnsi="Calibri" w:cs="Calibri"/>
          <w:noProof/>
          <w:sz w:val="20"/>
        </w:rPr>
        <w:tab/>
        <w:t xml:space="preserve">Ait-Oufella H, Lemoinne S, Boelle PY, et al. Mottling score predicts survival in septic shock. </w:t>
      </w:r>
      <w:r w:rsidRPr="008B761B">
        <w:rPr>
          <w:rFonts w:ascii="Calibri" w:hAnsi="Calibri" w:cs="Calibri"/>
          <w:i/>
          <w:iCs/>
          <w:noProof/>
          <w:sz w:val="20"/>
        </w:rPr>
        <w:t>Intensive Care Med</w:t>
      </w:r>
      <w:r w:rsidRPr="008B761B">
        <w:rPr>
          <w:rFonts w:ascii="Calibri" w:hAnsi="Calibri" w:cs="Calibri"/>
          <w:noProof/>
          <w:sz w:val="20"/>
        </w:rPr>
        <w:t xml:space="preserve">. 2011;37(5):801-807. </w:t>
      </w:r>
    </w:p>
    <w:p w14:paraId="1A1CDFF3" w14:textId="76F3AC52" w:rsidR="008B761B" w:rsidRPr="00B836DC" w:rsidRDefault="008B761B" w:rsidP="008B761B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070755D4" w14:textId="77777777" w:rsidR="008B761B" w:rsidRPr="00B836DC" w:rsidRDefault="008B761B" w:rsidP="008B761B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36DA68F0" w14:textId="3F746B8D" w:rsidR="00222B75" w:rsidRDefault="008B761B"/>
    <w:p w14:paraId="704EC946" w14:textId="77777777" w:rsidR="008B761B" w:rsidRDefault="008B761B"/>
    <w:sectPr w:rsidR="008B761B" w:rsidSect="00F569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47D85"/>
    <w:multiLevelType w:val="hybridMultilevel"/>
    <w:tmpl w:val="56323624"/>
    <w:lvl w:ilvl="0" w:tplc="F29A8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1B"/>
    <w:rsid w:val="00263FFC"/>
    <w:rsid w:val="008B761B"/>
    <w:rsid w:val="00F5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A1C6"/>
  <w15:chartTrackingRefBased/>
  <w15:docId w15:val="{56EBADCF-A5A5-AE47-8AE6-4792CB22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76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5"/>
    <w:qFormat/>
    <w:rsid w:val="008B761B"/>
    <w:rPr>
      <w:sz w:val="22"/>
      <w:szCs w:val="22"/>
    </w:rPr>
  </w:style>
  <w:style w:type="table" w:styleId="Lichtelijst">
    <w:name w:val="Light List"/>
    <w:basedOn w:val="Standaardtabel"/>
    <w:uiPriority w:val="61"/>
    <w:rsid w:val="008B761B"/>
    <w:rPr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FFCA01-52A8-4A44-8D70-927A38B0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866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Cox</dc:creator>
  <cp:keywords/>
  <dc:description/>
  <cp:lastModifiedBy>Eline Cox</cp:lastModifiedBy>
  <cp:revision>1</cp:revision>
  <dcterms:created xsi:type="dcterms:W3CDTF">2021-07-06T21:26:00Z</dcterms:created>
  <dcterms:modified xsi:type="dcterms:W3CDTF">2021-07-06T21:26:00Z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http://www.zotero.org/styles/bmc-genetics</vt:lpwstr>
  </property>
  <property fmtid="{D5CDD505-2E9C-101B-9397-08002B2CF9AE}" pid="9" name="Mendeley Recent Style Name 3_1">
    <vt:lpwstr>BMC Genetics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http://www.zotero.org/styles/critical-care-medicine</vt:lpwstr>
  </property>
  <property fmtid="{D5CDD505-2E9C-101B-9397-08002B2CF9AE}" pid="13" name="Mendeley Recent Style Name 5_1">
    <vt:lpwstr>Critical Care Medicine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http://www.zotero.org/styles/intensive-care-medicine</vt:lpwstr>
  </property>
  <property fmtid="{D5CDD505-2E9C-101B-9397-08002B2CF9AE}" pid="17" name="Mendeley Recent Style Name 7_1">
    <vt:lpwstr>Intensive Care Medicine</vt:lpwstr>
  </property>
  <property fmtid="{D5CDD505-2E9C-101B-9397-08002B2CF9AE}" pid="18" name="Mendeley Recent Style Id 8_1">
    <vt:lpwstr>http://www.zotero.org/styles/jama</vt:lpwstr>
  </property>
  <property fmtid="{D5CDD505-2E9C-101B-9397-08002B2CF9AE}" pid="19" name="Mendeley Recent Style Name 8_1">
    <vt:lpwstr>JAMA (The Journal of the American Medical Association)</vt:lpwstr>
  </property>
  <property fmtid="{D5CDD505-2E9C-101B-9397-08002B2CF9AE}" pid="20" name="Mendeley Recent Style Id 9_1">
    <vt:lpwstr>http://www.zotero.org/styles/plos-one</vt:lpwstr>
  </property>
  <property fmtid="{D5CDD505-2E9C-101B-9397-08002B2CF9AE}" pid="21" name="Mendeley Recent Style Name 9_1">
    <vt:lpwstr>PLOS ONE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366a81b0-69f6-369e-b4be-de65b111c935</vt:lpwstr>
  </property>
  <property fmtid="{D5CDD505-2E9C-101B-9397-08002B2CF9AE}" pid="24" name="Mendeley Citation Style_1">
    <vt:lpwstr>http://www.zotero.org/styles/jama</vt:lpwstr>
  </property>
</Properties>
</file>