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896" w:rsidRDefault="00D86896">
      <w:pPr>
        <w:rPr>
          <w:lang w:val="en-US"/>
        </w:rPr>
      </w:pPr>
    </w:p>
    <w:p w:rsidR="00D86896" w:rsidRDefault="00D86896">
      <w:pPr>
        <w:jc w:val="center"/>
        <w:rPr>
          <w:b/>
          <w:sz w:val="28"/>
          <w:szCs w:val="28"/>
          <w:lang w:val="en-US"/>
        </w:rPr>
      </w:pPr>
    </w:p>
    <w:p w:rsidR="00D86896" w:rsidRDefault="00F622D2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Additionale</w:t>
      </w:r>
      <w:proofErr w:type="spellEnd"/>
      <w:r>
        <w:rPr>
          <w:b/>
          <w:sz w:val="28"/>
          <w:szCs w:val="28"/>
          <w:lang w:val="en-US"/>
        </w:rPr>
        <w:t xml:space="preserve"> File 2</w:t>
      </w:r>
    </w:p>
    <w:p w:rsidR="00D86896" w:rsidRDefault="00F622D2">
      <w:pPr>
        <w:jc w:val="center"/>
        <w:rPr>
          <w:b/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>of</w:t>
      </w:r>
      <w:proofErr w:type="gramEnd"/>
      <w:r>
        <w:rPr>
          <w:b/>
          <w:sz w:val="28"/>
          <w:szCs w:val="28"/>
          <w:lang w:val="en-US"/>
        </w:rPr>
        <w:t xml:space="preserve"> the study by Grimaldi et al.</w:t>
      </w:r>
    </w:p>
    <w:p w:rsidR="00D86896" w:rsidRDefault="00D86896">
      <w:pPr>
        <w:jc w:val="center"/>
        <w:rPr>
          <w:b/>
          <w:sz w:val="28"/>
          <w:szCs w:val="28"/>
          <w:lang w:val="en-US"/>
        </w:rPr>
      </w:pPr>
    </w:p>
    <w:p w:rsidR="00D86896" w:rsidRDefault="00F622D2">
      <w:pPr>
        <w:spacing w:before="120" w:after="0" w:line="240" w:lineRule="auto"/>
        <w:jc w:val="center"/>
        <w:rPr>
          <w:b/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t xml:space="preserve">Ischemic injury of the upper digestive tract after out-of-hospital cardiac arrest: </w:t>
      </w:r>
    </w:p>
    <w:p w:rsidR="00D86896" w:rsidRDefault="00F622D2">
      <w:pPr>
        <w:spacing w:before="120" w:after="0" w:line="240" w:lineRule="auto"/>
        <w:jc w:val="center"/>
        <w:rPr>
          <w:b/>
          <w:sz w:val="28"/>
          <w:szCs w:val="24"/>
          <w:lang w:val="en-US"/>
        </w:rPr>
      </w:pPr>
      <w:proofErr w:type="gramStart"/>
      <w:r>
        <w:rPr>
          <w:b/>
          <w:sz w:val="28"/>
          <w:szCs w:val="24"/>
          <w:lang w:val="en-US"/>
        </w:rPr>
        <w:t>a</w:t>
      </w:r>
      <w:proofErr w:type="gramEnd"/>
      <w:r>
        <w:rPr>
          <w:b/>
          <w:sz w:val="28"/>
          <w:szCs w:val="24"/>
          <w:lang w:val="en-US"/>
        </w:rPr>
        <w:t xml:space="preserve"> prospective, </w:t>
      </w:r>
      <w:proofErr w:type="spellStart"/>
      <w:r>
        <w:rPr>
          <w:b/>
          <w:sz w:val="28"/>
          <w:szCs w:val="24"/>
          <w:lang w:val="en-US"/>
        </w:rPr>
        <w:t>multic</w:t>
      </w:r>
      <w:bookmarkStart w:id="0" w:name="_GoBack"/>
      <w:bookmarkEnd w:id="0"/>
      <w:r>
        <w:rPr>
          <w:b/>
          <w:sz w:val="28"/>
          <w:szCs w:val="24"/>
          <w:lang w:val="en-US"/>
        </w:rPr>
        <w:t>entre</w:t>
      </w:r>
      <w:proofErr w:type="spellEnd"/>
      <w:r>
        <w:rPr>
          <w:b/>
          <w:sz w:val="28"/>
          <w:szCs w:val="24"/>
          <w:lang w:val="en-US"/>
        </w:rPr>
        <w:t xml:space="preserve"> study</w:t>
      </w:r>
    </w:p>
    <w:p w:rsidR="00D86896" w:rsidRDefault="00D86896">
      <w:pPr>
        <w:jc w:val="center"/>
        <w:rPr>
          <w:b/>
          <w:sz w:val="28"/>
          <w:szCs w:val="28"/>
          <w:lang w:val="en-US"/>
        </w:rPr>
      </w:pPr>
    </w:p>
    <w:p w:rsidR="00D86896" w:rsidRDefault="00D86896">
      <w:pPr>
        <w:rPr>
          <w:lang w:val="en-US"/>
        </w:rPr>
      </w:pPr>
    </w:p>
    <w:p w:rsidR="00D86896" w:rsidRDefault="00D86896">
      <w:pPr>
        <w:rPr>
          <w:lang w:val="en-US"/>
        </w:rPr>
      </w:pPr>
    </w:p>
    <w:p w:rsidR="00D86896" w:rsidRPr="00F622D2" w:rsidRDefault="00F622D2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Therapeutic advices by the gastroenterologist after the gastroscopy according to </w:t>
      </w:r>
      <w:r>
        <w:rPr>
          <w:color w:val="000000"/>
          <w:lang w:val="en-US"/>
        </w:rPr>
        <w:t xml:space="preserve">the severity of ischemic lesions </w:t>
      </w:r>
    </w:p>
    <w:tbl>
      <w:tblPr>
        <w:tblStyle w:val="Grilledutableau"/>
        <w:tblW w:w="7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560"/>
        <w:gridCol w:w="1559"/>
        <w:gridCol w:w="1417"/>
        <w:gridCol w:w="1024"/>
      </w:tblGrid>
      <w:tr w:rsidR="00D86896" w:rsidTr="00F622D2">
        <w:tc>
          <w:tcPr>
            <w:tcW w:w="2376" w:type="dxa"/>
            <w:vAlign w:val="center"/>
          </w:tcPr>
          <w:p w:rsidR="00D86896" w:rsidRDefault="00D86896">
            <w:pPr>
              <w:widowControl w:val="0"/>
              <w:spacing w:after="0" w:line="240" w:lineRule="auto"/>
              <w:rPr>
                <w:color w:val="000000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No ischemic lesions</w:t>
            </w:r>
          </w:p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N=93</w:t>
            </w:r>
          </w:p>
        </w:tc>
        <w:tc>
          <w:tcPr>
            <w:tcW w:w="1559" w:type="dxa"/>
            <w:vAlign w:val="center"/>
          </w:tcPr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Moderate lesions</w:t>
            </w:r>
          </w:p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N=66</w:t>
            </w:r>
          </w:p>
        </w:tc>
        <w:tc>
          <w:tcPr>
            <w:tcW w:w="1417" w:type="dxa"/>
            <w:vAlign w:val="center"/>
          </w:tcPr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rFonts w:eastAsia="Calibri"/>
                <w:color w:val="000000"/>
                <w:lang w:val="en-US"/>
              </w:rPr>
              <w:t>evere  lesions</w:t>
            </w:r>
          </w:p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N=  55</w:t>
            </w:r>
          </w:p>
        </w:tc>
        <w:tc>
          <w:tcPr>
            <w:tcW w:w="1024" w:type="dxa"/>
            <w:vAlign w:val="center"/>
          </w:tcPr>
          <w:p w:rsidR="00D86896" w:rsidRDefault="00F622D2">
            <w:pPr>
              <w:widowControl w:val="0"/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</w:t>
            </w:r>
          </w:p>
        </w:tc>
      </w:tr>
      <w:tr w:rsidR="00D86896" w:rsidTr="00F622D2">
        <w:trPr>
          <w:trHeight w:val="564"/>
        </w:trPr>
        <w:tc>
          <w:tcPr>
            <w:tcW w:w="2376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rPr>
                <w:b/>
                <w:color w:val="000000"/>
              </w:rPr>
            </w:pPr>
            <w:proofErr w:type="spellStart"/>
            <w:r>
              <w:rPr>
                <w:rFonts w:eastAsia="Calibri"/>
                <w:b/>
                <w:color w:val="000000"/>
              </w:rPr>
              <w:t>Starving</w:t>
            </w:r>
            <w:proofErr w:type="spellEnd"/>
          </w:p>
        </w:tc>
        <w:tc>
          <w:tcPr>
            <w:tcW w:w="1560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 (1)</w:t>
            </w:r>
          </w:p>
        </w:tc>
        <w:tc>
          <w:tcPr>
            <w:tcW w:w="1559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9 (14)</w:t>
            </w:r>
          </w:p>
        </w:tc>
        <w:tc>
          <w:tcPr>
            <w:tcW w:w="1417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 (9)</w:t>
            </w:r>
          </w:p>
        </w:tc>
        <w:tc>
          <w:tcPr>
            <w:tcW w:w="1024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0.04</w:t>
            </w:r>
          </w:p>
        </w:tc>
      </w:tr>
      <w:tr w:rsidR="00D86896" w:rsidTr="00F622D2">
        <w:trPr>
          <w:trHeight w:val="564"/>
        </w:trPr>
        <w:tc>
          <w:tcPr>
            <w:tcW w:w="2376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rPr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PPI standard dose</w:t>
            </w:r>
          </w:p>
        </w:tc>
        <w:tc>
          <w:tcPr>
            <w:tcW w:w="1560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33 (35)</w:t>
            </w:r>
          </w:p>
        </w:tc>
        <w:tc>
          <w:tcPr>
            <w:tcW w:w="1559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40 (61)</w:t>
            </w:r>
          </w:p>
        </w:tc>
        <w:tc>
          <w:tcPr>
            <w:tcW w:w="1417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31 (56)</w:t>
            </w:r>
          </w:p>
        </w:tc>
        <w:tc>
          <w:tcPr>
            <w:tcW w:w="1024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0.44</w:t>
            </w:r>
          </w:p>
        </w:tc>
      </w:tr>
      <w:tr w:rsidR="00D86896" w:rsidTr="00F622D2">
        <w:trPr>
          <w:trHeight w:val="564"/>
        </w:trPr>
        <w:tc>
          <w:tcPr>
            <w:tcW w:w="2376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rPr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PPI double dose</w:t>
            </w:r>
          </w:p>
        </w:tc>
        <w:tc>
          <w:tcPr>
            <w:tcW w:w="1560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 (5)</w:t>
            </w:r>
          </w:p>
        </w:tc>
        <w:tc>
          <w:tcPr>
            <w:tcW w:w="1559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10 (15)</w:t>
            </w:r>
          </w:p>
        </w:tc>
        <w:tc>
          <w:tcPr>
            <w:tcW w:w="1417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19 (35)</w:t>
            </w:r>
          </w:p>
        </w:tc>
        <w:tc>
          <w:tcPr>
            <w:tcW w:w="1024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0.004</w:t>
            </w:r>
          </w:p>
        </w:tc>
      </w:tr>
      <w:tr w:rsidR="00D86896" w:rsidTr="00F622D2">
        <w:trPr>
          <w:trHeight w:val="564"/>
        </w:trPr>
        <w:tc>
          <w:tcPr>
            <w:tcW w:w="2376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rPr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Surgeon contact</w:t>
            </w:r>
          </w:p>
        </w:tc>
        <w:tc>
          <w:tcPr>
            <w:tcW w:w="1560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 (0)</w:t>
            </w:r>
          </w:p>
        </w:tc>
        <w:tc>
          <w:tcPr>
            <w:tcW w:w="1559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 (0)</w:t>
            </w:r>
          </w:p>
        </w:tc>
        <w:tc>
          <w:tcPr>
            <w:tcW w:w="1417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 (0)</w:t>
            </w:r>
          </w:p>
        </w:tc>
        <w:tc>
          <w:tcPr>
            <w:tcW w:w="1024" w:type="dxa"/>
            <w:vAlign w:val="center"/>
          </w:tcPr>
          <w:p w:rsidR="00D86896" w:rsidRDefault="00F622D2">
            <w:pPr>
              <w:pStyle w:val="Contenudetableau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na</w:t>
            </w:r>
          </w:p>
        </w:tc>
      </w:tr>
    </w:tbl>
    <w:p w:rsidR="00D86896" w:rsidRDefault="00D86896">
      <w:pPr>
        <w:rPr>
          <w:lang w:val="en-US"/>
        </w:rPr>
      </w:pPr>
    </w:p>
    <w:p w:rsidR="00D86896" w:rsidRDefault="00F622D2">
      <w:pPr>
        <w:pStyle w:val="Textebrut"/>
        <w:rPr>
          <w:lang w:val="en-US"/>
        </w:rPr>
      </w:pPr>
      <w:r>
        <w:rPr>
          <w:lang w:val="en-US"/>
        </w:rPr>
        <w:t>The advices were communicated</w:t>
      </w:r>
      <w:r>
        <w:rPr>
          <w:lang w:val="en-US"/>
        </w:rPr>
        <w:t xml:space="preserve"> to the physicians in charge of the patients but he remained free to follow them or not. These advices did not</w:t>
      </w:r>
      <w:r>
        <w:rPr>
          <w:lang w:val="en-US"/>
        </w:rPr>
        <w:t xml:space="preserve"> take into account the actual treatment of patients</w:t>
      </w:r>
    </w:p>
    <w:p w:rsidR="00D86896" w:rsidRDefault="00F622D2">
      <w:pPr>
        <w:pStyle w:val="Textebrut"/>
        <w:rPr>
          <w:lang w:val="en-US"/>
        </w:rPr>
      </w:pPr>
      <w:r>
        <w:rPr>
          <w:lang w:val="en-US"/>
        </w:rPr>
        <w:t xml:space="preserve">Note that in the “no ischemic lesions” group, patients may have other digestive diseases </w:t>
      </w:r>
    </w:p>
    <w:p w:rsidR="00D86896" w:rsidRDefault="00D86896">
      <w:pPr>
        <w:rPr>
          <w:sz w:val="24"/>
          <w:szCs w:val="24"/>
          <w:lang w:val="en-US"/>
        </w:rPr>
      </w:pPr>
    </w:p>
    <w:p w:rsidR="00D86896" w:rsidRDefault="00D86896">
      <w:pPr>
        <w:rPr>
          <w:sz w:val="24"/>
          <w:szCs w:val="24"/>
          <w:lang w:val="en-US"/>
        </w:rPr>
      </w:pPr>
    </w:p>
    <w:p w:rsidR="00D86896" w:rsidRDefault="00D86896">
      <w:pPr>
        <w:rPr>
          <w:sz w:val="24"/>
          <w:szCs w:val="24"/>
          <w:lang w:val="en-US"/>
        </w:rPr>
      </w:pPr>
    </w:p>
    <w:sectPr w:rsidR="00D86896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896"/>
    <w:rsid w:val="00D86896"/>
    <w:rsid w:val="00F6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55BF1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55B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qFormat/>
    <w:pPr>
      <w:spacing w:after="0" w:line="240" w:lineRule="auto"/>
    </w:pPr>
    <w:rPr>
      <w:rFonts w:ascii="Calibri" w:hAnsi="Calibri"/>
      <w:szCs w:val="21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styleId="Grilledutableau">
    <w:name w:val="Table Grid"/>
    <w:basedOn w:val="TableauNormal"/>
    <w:uiPriority w:val="59"/>
    <w:rsid w:val="0030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55BF1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55B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qFormat/>
    <w:pPr>
      <w:spacing w:after="0" w:line="240" w:lineRule="auto"/>
    </w:pPr>
    <w:rPr>
      <w:rFonts w:ascii="Calibri" w:hAnsi="Calibri"/>
      <w:szCs w:val="21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styleId="Grilledutableau">
    <w:name w:val="Table Grid"/>
    <w:basedOn w:val="TableauNormal"/>
    <w:uiPriority w:val="59"/>
    <w:rsid w:val="0030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125</Words>
  <Characters>688</Characters>
  <Application>Microsoft Office Word</Application>
  <DocSecurity>0</DocSecurity>
  <Lines>5</Lines>
  <Paragraphs>1</Paragraphs>
  <ScaleCrop>false</ScaleCrop>
  <Company>Hopital Erasme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Grimaldi David</dc:creator>
  <dc:description/>
  <cp:lastModifiedBy>Grimaldi David</cp:lastModifiedBy>
  <cp:revision>12</cp:revision>
  <dcterms:created xsi:type="dcterms:W3CDTF">2021-11-29T14:42:00Z</dcterms:created>
  <dcterms:modified xsi:type="dcterms:W3CDTF">2022-01-28T13:15:00Z</dcterms:modified>
  <dc:language>fr-FR</dc:language>
</cp:coreProperties>
</file>