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031AA" w:rsidR="008C6FEE" w:rsidP="00B15D6B" w:rsidRDefault="008C6FEE" w14:paraId="124465D4" w14:textId="77777777">
      <w:pPr>
        <w:jc w:val="both"/>
        <w:rPr>
          <w:rFonts w:ascii="Arial" w:hAnsi="Arial" w:eastAsia="Arial" w:cs="Arial"/>
          <w:b/>
          <w:lang w:val="en-US"/>
        </w:rPr>
      </w:pPr>
      <w:r w:rsidRPr="00F031AA">
        <w:rPr>
          <w:rFonts w:ascii="Arial" w:hAnsi="Arial" w:eastAsia="Arial" w:cs="Arial"/>
          <w:b/>
          <w:lang w:val="en-US"/>
        </w:rPr>
        <w:t>Supplementary Methods</w:t>
      </w:r>
    </w:p>
    <w:p w:rsidRPr="00E37E33" w:rsidR="00B15D6B" w:rsidP="00B15D6B" w:rsidRDefault="00B15D6B" w14:paraId="650321EC" w14:textId="77777777">
      <w:pPr>
        <w:jc w:val="both"/>
        <w:rPr>
          <w:lang w:val="en-US"/>
        </w:rPr>
      </w:pPr>
      <w:r>
        <w:rPr>
          <w:rFonts w:ascii="Arial" w:hAnsi="Arial" w:eastAsia="Arial" w:cs="Arial"/>
          <w:lang w:val="en-US"/>
        </w:rPr>
        <w:t>Patient inclusion</w:t>
      </w:r>
    </w:p>
    <w:p w:rsidRPr="007E65CB" w:rsidR="00B15D6B" w:rsidP="00B15D6B" w:rsidRDefault="00B15D6B" w14:paraId="44394582" w14:textId="36DC3646">
      <w:pPr>
        <w:jc w:val="both"/>
        <w:rPr>
          <w:rFonts w:ascii="Arial" w:hAnsi="Arial" w:cs="Arial"/>
          <w:color w:val="000000" w:themeColor="text1"/>
          <w:lang w:val="en-US"/>
        </w:rPr>
      </w:pPr>
      <w:r w:rsidRPr="5CBDB1B6" w:rsidR="00B15D6B">
        <w:rPr>
          <w:rFonts w:ascii="Arial" w:hAnsi="Arial" w:cs="Arial"/>
          <w:color w:val="000000" w:themeColor="text1" w:themeTint="FF" w:themeShade="FF"/>
          <w:lang w:val="en-US"/>
        </w:rPr>
        <w:t>The German Registry for COVID-19 autopsy registry (</w:t>
      </w:r>
      <w:proofErr w:type="spellStart"/>
      <w:r w:rsidRPr="5CBDB1B6" w:rsidR="00B15D6B">
        <w:rPr>
          <w:rFonts w:ascii="Arial" w:hAnsi="Arial" w:cs="Arial"/>
          <w:color w:val="000000" w:themeColor="text1" w:themeTint="FF" w:themeShade="FF"/>
          <w:lang w:val="en-US"/>
        </w:rPr>
        <w:t>DeRegCOVID</w:t>
      </w:r>
      <w:proofErr w:type="spellEnd"/>
      <w:r w:rsidRPr="5CBDB1B6" w:rsidR="00B15D6B">
        <w:rPr>
          <w:rFonts w:ascii="Arial" w:hAnsi="Arial" w:cs="Arial"/>
          <w:color w:val="000000" w:themeColor="text1" w:themeTint="FF" w:themeShade="FF"/>
          <w:lang w:val="en-US"/>
        </w:rPr>
        <w:t xml:space="preserve">) is the electronic backbone of the project DEFEAT PANDEMIcs in the frame of the Network University Medicine, funded by the German Federal Ministry of Education and Research. It aims to gather data on (potentially all) COVID-19 autopsies in Germany, to support autopsy centers and researchers, provide central analyses, data curation and integration, particularly with other NUM projects. Participation is voluntary and biomaterials remain at the respective autopsy site (decentralized </w:t>
      </w:r>
      <w:r w:rsidRPr="5CBDB1B6" w:rsidR="00B15D6B">
        <w:rPr>
          <w:rFonts w:ascii="Arial" w:hAnsi="Arial" w:cs="Arial"/>
          <w:color w:val="000000" w:themeColor="text1" w:themeTint="FF" w:themeShade="FF"/>
          <w:lang w:val="en-US"/>
        </w:rPr>
        <w:t>biobanking</w:t>
      </w:r>
      <w:r w:rsidRPr="5CBDB1B6" w:rsidR="00B15D6B">
        <w:rPr>
          <w:rFonts w:ascii="Arial" w:hAnsi="Arial" w:cs="Arial"/>
          <w:color w:val="000000" w:themeColor="text1" w:themeTint="FF" w:themeShade="FF"/>
          <w:lang w:val="en-US"/>
        </w:rPr>
        <w:t>). Autopsy centers retain the rights to their autopsy data and biomaterials including publication. N=1229 autopsy cases have been registered between April 30</w:t>
      </w:r>
      <w:r w:rsidRPr="5CBDB1B6" w:rsidR="00B15D6B">
        <w:rPr>
          <w:rFonts w:ascii="Arial" w:hAnsi="Arial" w:cs="Arial"/>
          <w:color w:val="000000" w:themeColor="text1" w:themeTint="FF" w:themeShade="FF"/>
          <w:vertAlign w:val="superscript"/>
          <w:lang w:val="en-US"/>
        </w:rPr>
        <w:t>th</w:t>
      </w:r>
      <w:r w:rsidRPr="5CBDB1B6" w:rsidR="00B15D6B">
        <w:rPr>
          <w:rFonts w:ascii="Arial" w:hAnsi="Arial" w:cs="Arial"/>
          <w:color w:val="000000" w:themeColor="text1" w:themeTint="FF" w:themeShade="FF"/>
          <w:lang w:val="en-US"/>
        </w:rPr>
        <w:t>, 2020 until November 16</w:t>
      </w:r>
      <w:r w:rsidRPr="5CBDB1B6" w:rsidR="00B15D6B">
        <w:rPr>
          <w:rFonts w:ascii="Arial" w:hAnsi="Arial" w:cs="Arial"/>
          <w:color w:val="000000" w:themeColor="text1" w:themeTint="FF" w:themeShade="FF"/>
          <w:vertAlign w:val="superscript"/>
          <w:lang w:val="en-US"/>
        </w:rPr>
        <w:t>th</w:t>
      </w:r>
      <w:r w:rsidRPr="5CBDB1B6" w:rsidR="00B15D6B">
        <w:rPr>
          <w:rFonts w:ascii="Arial" w:hAnsi="Arial" w:cs="Arial"/>
          <w:color w:val="000000" w:themeColor="text1" w:themeTint="FF" w:themeShade="FF"/>
          <w:lang w:val="en-US"/>
        </w:rPr>
        <w:t xml:space="preserve">, 2021 in the </w:t>
      </w:r>
      <w:proofErr w:type="spellStart"/>
      <w:r w:rsidRPr="5CBDB1B6" w:rsidR="00B15D6B">
        <w:rPr>
          <w:rFonts w:ascii="Arial" w:hAnsi="Arial" w:cs="Arial"/>
          <w:color w:val="000000" w:themeColor="text1" w:themeTint="FF" w:themeShade="FF"/>
          <w:lang w:val="en-US"/>
        </w:rPr>
        <w:t>DeRegCOVID</w:t>
      </w:r>
      <w:proofErr w:type="spellEnd"/>
      <w:r w:rsidRPr="5CBDB1B6" w:rsidR="00B15D6B">
        <w:rPr>
          <w:rFonts w:ascii="Arial" w:hAnsi="Arial" w:cs="Arial"/>
          <w:color w:val="000000" w:themeColor="text1" w:themeTint="FF" w:themeShade="FF"/>
          <w:lang w:val="en-US"/>
        </w:rPr>
        <w:t xml:space="preserve">. Of N=1229 registered autopsy cases, N=99 </w:t>
      </w:r>
      <w:proofErr w:type="gramStart"/>
      <w:r w:rsidRPr="5CBDB1B6" w:rsidR="00B15D6B">
        <w:rPr>
          <w:rFonts w:ascii="Arial" w:hAnsi="Arial" w:cs="Arial"/>
          <w:color w:val="000000" w:themeColor="text1" w:themeTint="FF" w:themeShade="FF"/>
          <w:lang w:val="en-US"/>
        </w:rPr>
        <w:t>were</w:t>
      </w:r>
      <w:proofErr w:type="gramEnd"/>
      <w:r w:rsidRPr="5CBDB1B6" w:rsidR="00B15D6B">
        <w:rPr>
          <w:rFonts w:ascii="Arial" w:hAnsi="Arial" w:cs="Arial"/>
          <w:color w:val="000000" w:themeColor="text1" w:themeTint="FF" w:themeShade="FF"/>
          <w:lang w:val="en-US"/>
        </w:rPr>
        <w:t xml:space="preserve"> excluded from all analyses in this study due to lacking information on a positive SARS-CoV-2 test result before or after death. </w:t>
      </w:r>
    </w:p>
    <w:p w:rsidRPr="007E65CB" w:rsidR="00B15D6B" w:rsidP="00B15D6B" w:rsidRDefault="00B15D6B" w14:paraId="642C5FD8" w14:textId="77777777">
      <w:pPr>
        <w:jc w:val="both"/>
        <w:rPr>
          <w:lang w:val="en-US"/>
        </w:rPr>
      </w:pPr>
      <w:r w:rsidRPr="007E65CB">
        <w:rPr>
          <w:rFonts w:ascii="Arial" w:hAnsi="Arial" w:eastAsia="Arial" w:cs="Arial"/>
          <w:lang w:val="en-US"/>
        </w:rPr>
        <w:t xml:space="preserve">Data Acquisition </w:t>
      </w:r>
    </w:p>
    <w:p w:rsidRPr="007E65CB" w:rsidR="00B15D6B" w:rsidP="00B15D6B" w:rsidRDefault="00B15D6B" w14:paraId="1565D696" w14:textId="0997C269">
      <w:pPr>
        <w:jc w:val="both"/>
        <w:rPr>
          <w:rFonts w:ascii="Arial" w:hAnsi="Arial" w:eastAsia="Arial" w:cs="Arial"/>
          <w:lang w:val="en-US"/>
        </w:rPr>
      </w:pPr>
      <w:r w:rsidRPr="5CBDB1B6" w:rsidR="00B15D6B">
        <w:rPr>
          <w:rFonts w:ascii="Arial" w:hAnsi="Arial" w:eastAsia="Arial" w:cs="Arial"/>
          <w:lang w:val="en-US"/>
        </w:rPr>
        <w:t xml:space="preserve">The data was recovered from the final autopsy report or the laboratory information system by a member of the autopsy team (physician or autopsy technician), scientific staff member or by a medical documentation assistant. All cases with a positive SARS-CoV-2 </w:t>
      </w:r>
      <w:r w:rsidRPr="5CBDB1B6" w:rsidR="008F5563">
        <w:rPr>
          <w:rFonts w:ascii="Arial" w:hAnsi="Arial" w:eastAsia="Arial" w:cs="Arial"/>
          <w:lang w:val="en-US"/>
        </w:rPr>
        <w:t xml:space="preserve">test </w:t>
      </w:r>
      <w:r w:rsidRPr="5CBDB1B6" w:rsidR="00B15D6B">
        <w:rPr>
          <w:rFonts w:ascii="Arial" w:hAnsi="Arial" w:eastAsia="Arial" w:cs="Arial"/>
          <w:lang w:val="en-US"/>
        </w:rPr>
        <w:t>(usually antigen tests from either nasopharyngeal or PCR from either nasopharyngeal swab or tissue), either preclinical, clinical or post-mortem, were been eligible for registration and analysis. In addition to full autopsy, minimal invasive autopsies were also eligible. In N=17 cases, biopsy was mentioned as sample type. Of note, brain examination at autopsy was not documented in N=19 ECMO patients (N=5 with ECMO and ICB) and in N=300 non-ECMO patients (N=5 non-ECMO with ICB) because of concerns about occupational exposure to infectious aerosols from sawdust when the skull was opened. This is especially true for the first wave of the pandemic, when autopsy rooms were not yet equipped with special bone saws with vacuum unit and saw dust filter.</w:t>
      </w:r>
    </w:p>
    <w:p w:rsidRPr="007E65CB" w:rsidR="00B15D6B" w:rsidP="00B15D6B" w:rsidRDefault="00B15D6B" w14:paraId="7EE5E84B" w14:textId="77777777">
      <w:pPr>
        <w:jc w:val="both"/>
        <w:rPr>
          <w:lang w:val="en-US"/>
        </w:rPr>
      </w:pPr>
      <w:r w:rsidRPr="007E65CB">
        <w:rPr>
          <w:rFonts w:ascii="Arial" w:hAnsi="Arial" w:eastAsia="Arial" w:cs="Arial"/>
          <w:lang w:val="en-US"/>
        </w:rPr>
        <w:t xml:space="preserve">Data Management </w:t>
      </w:r>
    </w:p>
    <w:p w:rsidRPr="007E65CB" w:rsidR="00B15D6B" w:rsidP="2FF5F2EB" w:rsidRDefault="00B15D6B" w14:paraId="550D811A" w14:textId="66051AC0">
      <w:pPr>
        <w:jc w:val="both"/>
        <w:rPr>
          <w:rFonts w:ascii="Arial" w:hAnsi="Arial" w:cs="Arial"/>
          <w:color w:val="000000" w:themeColor="text1" w:themeTint="FF" w:themeShade="FF"/>
          <w:lang w:val="en-US"/>
        </w:rPr>
      </w:pPr>
      <w:r w:rsidRPr="007E65CB" w:rsidR="00B15D6B">
        <w:rPr>
          <w:rFonts w:ascii="Arial" w:hAnsi="Arial" w:eastAsia="Arial" w:cs="Arial"/>
          <w:lang w:val="en-US"/>
        </w:rPr>
        <w:t xml:space="preserve">The acquisition of data is achieved with the Electronic Data System (EDC) </w:t>
      </w:r>
      <w:proofErr w:type="spellStart"/>
      <w:r w:rsidRPr="007E65CB" w:rsidR="00B15D6B">
        <w:rPr>
          <w:rFonts w:ascii="Arial" w:hAnsi="Arial" w:eastAsia="Arial" w:cs="Arial"/>
          <w:lang w:val="en-US"/>
        </w:rPr>
        <w:t>LibreClinica</w:t>
      </w:r>
      <w:proofErr w:type="spellEnd"/>
      <w:r w:rsidRPr="007E65CB" w:rsidR="00B15D6B">
        <w:rPr>
          <w:rFonts w:ascii="Arial" w:hAnsi="Arial" w:eastAsia="Arial" w:cs="Arial"/>
          <w:lang w:val="en-US"/>
        </w:rPr>
        <w:t xml:space="preserve"> (version 1.0.0rt snapshot). The information on intracranial and </w:t>
      </w:r>
      <w:r w:rsidRPr="007E65CB" w:rsidR="00B15D6B">
        <w:rPr>
          <w:rFonts w:ascii="Arial" w:hAnsi="Arial" w:eastAsia="Arial" w:cs="Arial"/>
          <w:lang w:val="en-US"/>
        </w:rPr>
        <w:t>extracranial</w:t>
      </w:r>
      <w:r w:rsidRPr="007E65CB" w:rsidR="00B15D6B">
        <w:rPr>
          <w:rFonts w:ascii="Arial" w:hAnsi="Arial" w:eastAsia="Arial" w:cs="Arial"/>
          <w:lang w:val="en-US"/>
        </w:rPr>
        <w:t xml:space="preserve"> hemorrhage was retrieved from either clinical information or from the final autopsy report after the histological examination. The cause of death data was taken from the final autopsy report after the histological examination. The Nomenclature diagnosis was curated according to the ICD-11 International Classification of Diseases and Related Health Issues, Eleventh Revision, 1st ed. Cause of death data was centrally reviewed and curated following the ICD-10: International Statistical Classification of Diseases and Related Health Problems, Tenth Revision, 2nd ed., International Guidelines for Certification and Classification (Coding) of COVID-19 as Cause of Death, as previously reported </w:t>
      </w:r>
      <w:r w:rsidRPr="007E65CB">
        <w:rPr>
          <w:rFonts w:ascii="Arial" w:hAnsi="Arial" w:eastAsia="Arial" w:cs="Arial"/>
          <w:lang w:val="en-US"/>
        </w:rPr>
        <w:fldChar w:fldCharType="begin"/>
      </w:r>
      <w:r w:rsidR="00F55D3A">
        <w:rPr>
          <w:rFonts w:ascii="Arial" w:hAnsi="Arial" w:eastAsia="Arial" w:cs="Arial"/>
          <w:lang w:val="en-US"/>
        </w:rPr>
        <w:instrText xml:space="preserve"> ADDIN EN.CITE &lt;EndNote&gt;&lt;Cite&gt;&lt;Author&gt;von Stillfried&lt;/Author&gt;&lt;Year&gt;2022, in press&lt;/Year&gt;&lt;RecNum&gt;1030&lt;/RecNum&gt;&lt;DisplayText&gt;[1]&lt;/DisplayText&gt;&lt;record&gt;&lt;rec-number&gt;1030&lt;/rec-number&gt;&lt;foreign-keys&gt;&lt;key app="EN" db-id="zffp5epxfptw9ce5edwvafs69rv0xsxzzr9a" timestamp="1643986426"&gt;1030&lt;/key&gt;&lt;/foreign-keys&gt;&lt;ref-type name="Journal Article"&gt;17&lt;/ref-type&gt;&lt;contributors&gt;&lt;authors&gt;&lt;author&gt;von Stillfried, S.&lt;/author&gt;&lt;author&gt;Bulow, R. D.&lt;/author&gt;&lt;author&gt;Röhrig, Rainer&lt;/author&gt;&lt;author&gt;Boor, P.&lt;/author&gt;&lt;/authors&gt;&lt;/contributors&gt;&lt;titles&gt;&lt;title&gt;First report from the German COVID-19 autopsy registry&lt;/title&gt;&lt;secondary-title&gt;The Lancet Regional Health - Europe&lt;/secondary-title&gt;&lt;/titles&gt;&lt;periodical&gt;&lt;full-title&gt;The Lancet Regional Health - Europe&lt;/full-title&gt;&lt;/periodical&gt;&lt;dates&gt;&lt;year&gt;2022, in press&lt;/year&gt;&lt;/dates&gt;&lt;urls&gt;&lt;/urls&gt;&lt;/record&gt;&lt;/Cite&gt;&lt;/EndNote&gt;</w:instrText>
      </w:r>
      <w:r w:rsidRPr="007E65CB">
        <w:rPr>
          <w:rFonts w:ascii="Arial" w:hAnsi="Arial" w:eastAsia="Arial" w:cs="Arial"/>
          <w:lang w:val="en-US"/>
        </w:rPr>
        <w:fldChar w:fldCharType="separate"/>
      </w:r>
      <w:r w:rsidR="00F55D3A">
        <w:rPr>
          <w:rFonts w:ascii="Arial" w:hAnsi="Arial" w:eastAsia="Arial" w:cs="Arial"/>
          <w:noProof/>
          <w:lang w:val="en-US"/>
        </w:rPr>
        <w:t>[1]</w:t>
      </w:r>
      <w:r w:rsidRPr="007E65CB">
        <w:rPr>
          <w:rFonts w:ascii="Arial" w:hAnsi="Arial" w:eastAsia="Arial" w:cs="Arial"/>
          <w:lang w:val="en-US"/>
        </w:rPr>
        <w:fldChar w:fldCharType="end"/>
      </w:r>
      <w:r w:rsidRPr="007E65CB" w:rsidR="00B15D6B">
        <w:rPr>
          <w:rFonts w:ascii="Arial" w:hAnsi="Arial" w:eastAsia="Arial" w:cs="Arial"/>
          <w:lang w:val="en-US"/>
        </w:rPr>
        <w:t xml:space="preserve">. Entries without cause of death sequences reported in combination with a nonspecific condition as the immediate cause of death or missing data in line 1a (e.g., cardiovascular failure without underlying disease) have </w:t>
      </w:r>
      <w:r w:rsidRPr="007E65CB" w:rsidR="00B15D6B">
        <w:rPr>
          <w:rFonts w:ascii="Arial" w:hAnsi="Arial" w:eastAsia="Arial" w:cs="Arial"/>
          <w:lang w:val="en-US"/>
        </w:rPr>
        <w:lastRenderedPageBreak/>
        <w:t>been excluded (no ECMO cases, N=35 non-ECMO cases). The category “other” (Figure 1h) comprises N=1 epistaxis</w:t>
      </w:r>
      <w:r w:rsidR="00AE1BC3">
        <w:rPr>
          <w:rFonts w:ascii="Arial" w:hAnsi="Arial" w:eastAsia="Arial" w:cs="Arial"/>
          <w:lang w:val="en-US"/>
        </w:rPr>
        <w:t xml:space="preserve">, N=1 diffuse bleeding from the oral cavity </w:t>
      </w:r>
      <w:r w:rsidRPr="007E65CB" w:rsidR="00B15D6B">
        <w:rPr>
          <w:rFonts w:ascii="Arial" w:hAnsi="Arial" w:eastAsia="Arial" w:cs="Arial"/>
          <w:lang w:val="en-US"/>
        </w:rPr>
        <w:t>and N=1</w:t>
      </w:r>
      <w:r w:rsidR="00AE1BC3">
        <w:rPr>
          <w:rFonts w:ascii="Arial" w:hAnsi="Arial" w:eastAsia="Arial" w:cs="Arial"/>
          <w:lang w:val="en-US"/>
        </w:rPr>
        <w:t>8</w:t>
      </w:r>
      <w:r w:rsidRPr="007E65CB" w:rsidR="00B15D6B">
        <w:rPr>
          <w:rFonts w:ascii="Arial" w:hAnsi="Arial" w:eastAsia="Arial" w:cs="Arial"/>
          <w:lang w:val="en-US"/>
        </w:rPr>
        <w:t xml:space="preserve"> unspecified hemorrhage or mention of anemia due to unspecified hemorrhage. The category “other </w:t>
      </w:r>
      <w:r w:rsidRPr="007E65CB" w:rsidR="00B15D6B">
        <w:rPr>
          <w:rFonts w:ascii="Arial" w:hAnsi="Arial" w:eastAsia="Arial" w:cs="Arial"/>
          <w:lang w:val="en-US"/>
        </w:rPr>
        <w:t>postinterventional</w:t>
      </w:r>
      <w:r w:rsidRPr="007E65CB" w:rsidR="00B15D6B">
        <w:rPr>
          <w:rFonts w:ascii="Arial" w:hAnsi="Arial" w:eastAsia="Arial" w:cs="Arial"/>
          <w:lang w:val="en-US"/>
        </w:rPr>
        <w:t>” (Figure 1h) comprises N=</w:t>
      </w:r>
      <w:r w:rsidR="00AE1BC3">
        <w:rPr>
          <w:rFonts w:ascii="Arial" w:hAnsi="Arial" w:eastAsia="Arial" w:cs="Arial"/>
          <w:lang w:val="en-US"/>
        </w:rPr>
        <w:t xml:space="preserve">4 from </w:t>
      </w:r>
      <w:r w:rsidR="00AE1BC3">
        <w:rPr>
          <w:rFonts w:ascii="Arial" w:hAnsi="Arial" w:eastAsia="Arial" w:cs="Arial"/>
          <w:lang w:val="en-US"/>
        </w:rPr>
        <w:t>punction</w:t>
      </w:r>
      <w:r w:rsidR="00AE1BC3">
        <w:rPr>
          <w:rFonts w:ascii="Arial" w:hAnsi="Arial" w:eastAsia="Arial" w:cs="Arial"/>
          <w:lang w:val="en-US"/>
        </w:rPr>
        <w:t xml:space="preserve"> or tracheostomy sites, </w:t>
      </w:r>
      <w:r w:rsidRPr="007E65CB" w:rsidR="00B15D6B">
        <w:rPr>
          <w:rFonts w:ascii="Arial" w:hAnsi="Arial" w:eastAsia="Arial" w:cs="Arial"/>
          <w:lang w:val="en-US"/>
        </w:rPr>
        <w:t>N=1 hemorrhage after l</w:t>
      </w:r>
      <w:r w:rsidR="007F6E36">
        <w:rPr>
          <w:rFonts w:ascii="Arial" w:hAnsi="Arial" w:eastAsia="Arial" w:cs="Arial"/>
          <w:lang w:val="en-US"/>
        </w:rPr>
        <w:t xml:space="preserve">aceration of the femoral artery, </w:t>
      </w:r>
      <w:r w:rsidRPr="007E65CB" w:rsidR="00B15D6B">
        <w:rPr>
          <w:rFonts w:ascii="Arial" w:hAnsi="Arial" w:eastAsia="Arial" w:cs="Arial"/>
          <w:lang w:val="en-US"/>
        </w:rPr>
        <w:t xml:space="preserve">N=1 hemorrhage after </w:t>
      </w:r>
      <w:proofErr w:type="spellStart"/>
      <w:r w:rsidRPr="007E65CB" w:rsidR="00B15D6B">
        <w:rPr>
          <w:rFonts w:ascii="Arial" w:hAnsi="Arial" w:eastAsia="Arial" w:cs="Arial"/>
          <w:lang w:val="en-US"/>
        </w:rPr>
        <w:t>endoprosthetic</w:t>
      </w:r>
      <w:proofErr w:type="spellEnd"/>
      <w:r w:rsidRPr="007E65CB" w:rsidR="00B15D6B">
        <w:rPr>
          <w:rFonts w:ascii="Arial" w:hAnsi="Arial" w:eastAsia="Arial" w:cs="Arial"/>
          <w:lang w:val="en-US"/>
        </w:rPr>
        <w:t xml:space="preserve"> surgery</w:t>
      </w:r>
      <w:r w:rsidR="007F6E36">
        <w:rPr>
          <w:rFonts w:ascii="Arial" w:hAnsi="Arial" w:eastAsia="Arial" w:cs="Arial"/>
          <w:lang w:val="en-US"/>
        </w:rPr>
        <w:t xml:space="preserve"> and N=1 patient with several hemorrhages (tracheal, femoral arterial and urethral)</w:t>
      </w:r>
      <w:r w:rsidRPr="007E65CB" w:rsidR="00B15D6B">
        <w:rPr>
          <w:rFonts w:ascii="Arial" w:hAnsi="Arial" w:eastAsia="Arial" w:cs="Arial"/>
          <w:lang w:val="en-US"/>
        </w:rPr>
        <w:t>.</w:t>
      </w:r>
      <w:r w:rsidR="00F031AA">
        <w:rPr>
          <w:rFonts w:ascii="Arial" w:hAnsi="Arial" w:eastAsia="Arial" w:cs="Arial"/>
          <w:lang w:val="en-US"/>
        </w:rPr>
        <w:t xml:space="preserve"> The</w:t>
      </w:r>
      <w:r w:rsidRPr="00F031AA" w:rsidR="00F031AA">
        <w:rPr>
          <w:rFonts w:ascii="Arial" w:hAnsi="Arial" w:cs="Arial"/>
          <w:color w:val="000000"/>
          <w:shd w:val="clear" w:color="auto" w:fill="FFFFFF"/>
          <w:lang w:val="en-US"/>
        </w:rPr>
        <w:t xml:space="preserve"> </w:t>
      </w:r>
      <w:r w:rsidR="00F031AA">
        <w:rPr>
          <w:rFonts w:ascii="Arial" w:hAnsi="Arial" w:cs="Arial"/>
          <w:color w:val="000000"/>
          <w:shd w:val="clear" w:color="auto" w:fill="FFFFFF"/>
          <w:lang w:val="en-US"/>
        </w:rPr>
        <w:t>i</w:t>
      </w:r>
      <w:r w:rsidRPr="00BD4334" w:rsidR="00F031AA">
        <w:rPr>
          <w:rFonts w:ascii="Arial" w:hAnsi="Arial" w:cs="Arial"/>
          <w:color w:val="000000"/>
          <w:shd w:val="clear" w:color="auto" w:fill="FFFFFF"/>
          <w:lang w:val="en-US"/>
        </w:rPr>
        <w:t>ntracranial bleeding (ICB) in</w:t>
      </w:r>
      <w:r w:rsidRPr="00BD4334" w:rsidR="00F031AA">
        <w:rPr>
          <w:rFonts w:ascii="Arial" w:hAnsi="Arial" w:cs="Arial"/>
          <w:color w:val="000000" w:themeColor="text1"/>
          <w:lang w:val="en-US"/>
        </w:rPr>
        <w:t xml:space="preserve"> N=13</w:t>
      </w:r>
      <w:r w:rsidRPr="00BD4334" w:rsidR="00F031AA">
        <w:rPr>
          <w:rFonts w:ascii="Arial" w:hAnsi="Arial" w:cs="Arial"/>
          <w:color w:val="000000"/>
          <w:shd w:val="clear" w:color="auto" w:fill="FFFFFF"/>
          <w:lang w:val="en-US"/>
        </w:rPr>
        <w:t xml:space="preserve"> </w:t>
      </w:r>
      <w:r w:rsidRPr="00BD4334" w:rsidR="00F031AA">
        <w:rPr>
          <w:rFonts w:ascii="Arial" w:hAnsi="Arial" w:cs="Arial"/>
          <w:color w:val="000000" w:themeColor="text1"/>
          <w:lang w:val="en-US"/>
        </w:rPr>
        <w:t xml:space="preserve">ECMO cases </w:t>
      </w:r>
      <w:r w:rsidR="00F031AA">
        <w:rPr>
          <w:rFonts w:ascii="Arial" w:hAnsi="Arial" w:cs="Arial"/>
          <w:color w:val="000000" w:themeColor="text1"/>
          <w:lang w:val="en-US"/>
        </w:rPr>
        <w:t xml:space="preserve">was </w:t>
      </w:r>
      <w:r w:rsidRPr="00BD4334" w:rsidR="00F031AA">
        <w:rPr>
          <w:rFonts w:ascii="Arial" w:hAnsi="Arial" w:cs="Arial"/>
          <w:color w:val="000000" w:themeColor="text1"/>
          <w:lang w:val="en-US"/>
        </w:rPr>
        <w:t>non-traumatic</w:t>
      </w:r>
      <w:r w:rsidRPr="00F031AA" w:rsidR="00F031AA">
        <w:rPr>
          <w:rFonts w:ascii="Arial" w:hAnsi="Arial" w:cs="Arial"/>
          <w:color w:val="000000" w:themeColor="text1"/>
          <w:lang w:val="en-US"/>
        </w:rPr>
        <w:t xml:space="preserve"> </w:t>
      </w:r>
      <w:r w:rsidR="00F031AA">
        <w:rPr>
          <w:rFonts w:ascii="Arial" w:hAnsi="Arial" w:cs="Arial"/>
          <w:color w:val="000000" w:themeColor="text1"/>
          <w:lang w:val="en-US"/>
        </w:rPr>
        <w:t xml:space="preserve">in </w:t>
      </w:r>
      <w:r w:rsidRPr="00BD4334" w:rsidR="00F031AA">
        <w:rPr>
          <w:rFonts w:ascii="Arial" w:hAnsi="Arial" w:cs="Arial"/>
          <w:color w:val="000000" w:themeColor="text1"/>
          <w:lang w:val="en-US"/>
        </w:rPr>
        <w:t>all</w:t>
      </w:r>
      <w:r w:rsidR="00F031AA">
        <w:rPr>
          <w:rFonts w:ascii="Arial" w:hAnsi="Arial" w:cs="Arial"/>
          <w:color w:val="000000" w:themeColor="text1"/>
          <w:lang w:val="en-US"/>
        </w:rPr>
        <w:t xml:space="preserve"> cases (</w:t>
      </w:r>
      <w:r w:rsidRPr="00BD4334" w:rsidR="00F031AA">
        <w:rPr>
          <w:rFonts w:ascii="Arial" w:hAnsi="Arial" w:cs="Arial"/>
          <w:color w:val="000000" w:themeColor="text1"/>
          <w:lang w:val="en-US"/>
        </w:rPr>
        <w:t xml:space="preserve">N=1 subarachnoid, N=8 intracerebral, N=4 intracranial not otherwise </w:t>
      </w:r>
      <w:r w:rsidRPr="00BD4334" w:rsidR="00F031AA">
        <w:rPr>
          <w:rFonts w:ascii="Arial" w:hAnsi="Arial" w:cs="Arial"/>
          <w:color w:val="000000" w:themeColor="text1"/>
          <w:lang w:val="en-US"/>
        </w:rPr>
        <w:t xml:space="preserve">specified </w:t>
      </w:r>
      <w:r w:rsidRPr="00BD4334" w:rsidR="00F031AA">
        <w:rPr>
          <w:rFonts w:ascii="Arial" w:hAnsi="Arial" w:cs="Arial"/>
          <w:color w:val="000000" w:themeColor="text1"/>
          <w:lang w:val="en-US"/>
        </w:rPr>
        <w:t xml:space="preserve">and</w:t>
      </w:r>
      <w:r w:rsidRPr="00BD4334" w:rsidR="00F031AA">
        <w:rPr>
          <w:rFonts w:ascii="Arial" w:hAnsi="Arial" w:cs="Arial"/>
          <w:color w:val="000000"/>
          <w:shd w:val="clear" w:color="auto" w:fill="FFFFFF"/>
          <w:lang w:val="en-US"/>
        </w:rPr>
        <w:t xml:space="preserve"> traumatic in N=2 of </w:t>
      </w:r>
      <w:r w:rsidR="00F031AA">
        <w:rPr>
          <w:rFonts w:ascii="Arial" w:hAnsi="Arial" w:cs="Arial"/>
          <w:color w:val="000000"/>
          <w:shd w:val="clear" w:color="auto" w:fill="FFFFFF"/>
          <w:lang w:val="en-US"/>
        </w:rPr>
        <w:t xml:space="preserve">N=30 </w:t>
      </w:r>
      <w:r w:rsidRPr="00BD4334" w:rsidR="00F031AA">
        <w:rPr>
          <w:rFonts w:ascii="Arial" w:hAnsi="Arial" w:cs="Arial"/>
          <w:color w:val="000000" w:themeColor="text1"/>
          <w:lang w:val="en-US"/>
        </w:rPr>
        <w:t xml:space="preserve">non-ECMO cases</w:t>
      </w:r>
      <w:r w:rsidRPr="00BD4334" w:rsidR="00F031AA">
        <w:rPr>
          <w:rFonts w:ascii="Arial" w:hAnsi="Arial" w:cs="Arial"/>
          <w:color w:val="000000"/>
          <w:shd w:val="clear" w:color="auto" w:fill="FFFFFF"/>
          <w:lang w:val="en-US"/>
        </w:rPr>
        <w:t xml:space="preserve">.</w:t>
      </w:r>
    </w:p>
    <w:p w:rsidRPr="007E65CB" w:rsidR="00B15D6B" w:rsidP="00B15D6B" w:rsidRDefault="00B15D6B" w14:paraId="021EA607" w14:textId="77777777">
      <w:pPr>
        <w:jc w:val="both"/>
        <w:rPr>
          <w:lang w:val="en-US"/>
        </w:rPr>
      </w:pPr>
      <w:r w:rsidRPr="007E65CB">
        <w:rPr>
          <w:rFonts w:ascii="Arial" w:hAnsi="Arial" w:eastAsia="Arial" w:cs="Arial"/>
          <w:lang w:val="en-US"/>
        </w:rPr>
        <w:t xml:space="preserve">Coordinated stratification by the region </w:t>
      </w:r>
    </w:p>
    <w:p w:rsidRPr="007E65CB" w:rsidR="00B15D6B" w:rsidP="00B15D6B" w:rsidRDefault="00B15D6B" w14:paraId="6CD41D60" w14:textId="1CB2630B">
      <w:pPr>
        <w:jc w:val="both"/>
        <w:rPr>
          <w:rFonts w:ascii="Arial" w:hAnsi="Arial" w:eastAsia="Arial" w:cs="Arial"/>
          <w:lang w:val="en-US"/>
        </w:rPr>
      </w:pPr>
      <w:r w:rsidRPr="5CBDB1B6" w:rsidR="00B15D6B">
        <w:rPr>
          <w:rFonts w:ascii="Arial" w:hAnsi="Arial" w:eastAsia="Arial" w:cs="Arial"/>
          <w:lang w:val="en-US"/>
        </w:rPr>
        <w:t xml:space="preserve">The first digit of the German zip code at the deceased persons home address was used to stratify the cohort by the region, as described previously </w:t>
      </w:r>
      <w:r w:rsidRPr="5CBDB1B6">
        <w:rPr>
          <w:rFonts w:ascii="Arial" w:hAnsi="Arial" w:eastAsia="Arial" w:cs="Arial"/>
          <w:lang w:val="en-US"/>
        </w:rPr>
        <w:fldChar w:fldCharType="begin"/>
      </w:r>
      <w:r w:rsidRPr="5CBDB1B6">
        <w:rPr>
          <w:rFonts w:ascii="Arial" w:hAnsi="Arial" w:eastAsia="Arial" w:cs="Arial"/>
          <w:lang w:val="en-US"/>
        </w:rPr>
        <w:instrText xml:space="preserve"> ADDIN EN.CITE &lt;EndNote&gt;&lt;Cite&gt;&lt;Author&gt;von Stillfried&lt;/Author&gt;&lt;Year&gt;2022, in press&lt;/Year&gt;&lt;RecNum&gt;1030&lt;/RecNum&gt;&lt;DisplayText&gt;[1]&lt;/DisplayText&gt;&lt;record&gt;&lt;rec-number&gt;1030&lt;/rec-number&gt;&lt;foreign-keys&gt;&lt;key app="EN" db-id="zffp5epxfptw9ce5edwvafs69rv0xsxzzr9a" timestamp="1643986426"&gt;1030&lt;/key&gt;&lt;/foreign-keys&gt;&lt;ref-type name="Journal Article"&gt;17&lt;/ref-type&gt;&lt;contributors&gt;&lt;authors&gt;&lt;author&gt;von Stillfried, S.&lt;/author&gt;&lt;author&gt;Bulow, R. D.&lt;/author&gt;&lt;author&gt;Röhrig, Rainer&lt;/author&gt;&lt;author&gt;Boor, P.&lt;/author&gt;&lt;/authors&gt;&lt;/contributors&gt;&lt;titles&gt;&lt;title&gt;First report from the German COVID-19 autopsy registry&lt;/title&gt;&lt;secondary-title&gt;The Lancet Regional Health - Europe&lt;/secondary-title&gt;&lt;/titles&gt;&lt;periodical&gt;&lt;full-title&gt;The Lancet Regional Health - Europe&lt;/full-title&gt;&lt;/periodical&gt;&lt;dates&gt;&lt;year&gt;2022, in press&lt;/year&gt;&lt;/dates&gt;&lt;urls&gt;&lt;/urls&gt;&lt;/record&gt;&lt;/Cite&gt;&lt;Cite&gt;&lt;Author&gt;von Stillfried&lt;/Author&gt;&lt;Year&gt;2022, in press&lt;/Year&gt;&lt;RecNum&gt;1030&lt;/RecNum&gt;&lt;record&gt;&lt;rec-number&gt;1030&lt;/rec-number&gt;&lt;foreign-keys&gt;&lt;key app="EN" db-id="zffp5epxfptw9ce5edwvafs69rv0xsxzzr9a" timestamp="1643986426"&gt;1030&lt;/key&gt;&lt;/foreign-keys&gt;&lt;ref-type name="Journal Article"&gt;17&lt;/ref-type&gt;&lt;contributors&gt;&lt;authors&gt;&lt;author&gt;von Stillfried, S.&lt;/author&gt;&lt;author&gt;Bulow, R. D.&lt;/author&gt;&lt;author&gt;Röhrig, Rainer&lt;/author&gt;&lt;author&gt;Boor, P.&lt;/author&gt;&lt;/authors&gt;&lt;/contributors&gt;&lt;titles&gt;&lt;title&gt;First report from the German COVID-19 autopsy registry&lt;/title&gt;&lt;secondary-title&gt;The Lancet Regional Health - Europe&lt;/secondary-title&gt;&lt;/titles&gt;&lt;periodical&gt;&lt;full-title&gt;The Lancet Regional Health - Europe&lt;/full-title&gt;&lt;/periodical&gt;&lt;dates&gt;&lt;year&gt;2022, in press&lt;/year&gt;&lt;/dates&gt;&lt;urls&gt;&lt;/urls&gt;&lt;/record&gt;&lt;/Cite&gt;&lt;/EndNote&gt;</w:instrText>
      </w:r>
      <w:r w:rsidRPr="5CBDB1B6">
        <w:rPr>
          <w:rFonts w:ascii="Arial" w:hAnsi="Arial" w:eastAsia="Arial" w:cs="Arial"/>
          <w:lang w:val="en-US"/>
        </w:rPr>
        <w:fldChar w:fldCharType="separate"/>
      </w:r>
      <w:r w:rsidRPr="5CBDB1B6" w:rsidR="00F55D3A">
        <w:rPr>
          <w:rFonts w:ascii="Arial" w:hAnsi="Arial" w:eastAsia="Arial" w:cs="Arial"/>
          <w:noProof/>
          <w:lang w:val="en-US"/>
        </w:rPr>
        <w:t>[1]</w:t>
      </w:r>
      <w:r w:rsidRPr="5CBDB1B6">
        <w:rPr>
          <w:rFonts w:ascii="Arial" w:hAnsi="Arial" w:eastAsia="Arial" w:cs="Arial"/>
          <w:lang w:val="en-US"/>
        </w:rPr>
        <w:fldChar w:fldCharType="end"/>
      </w:r>
      <w:r w:rsidRPr="5CBDB1B6" w:rsidR="00B15D6B">
        <w:rPr>
          <w:rFonts w:ascii="Arial" w:hAnsi="Arial" w:eastAsia="Arial" w:cs="Arial"/>
          <w:lang w:val="en-US"/>
        </w:rPr>
        <w:t xml:space="preserve">. Shortly, zip codes start with the digits 0-1 being assigned to the "East", digits 2 </w:t>
      </w:r>
      <w:r w:rsidRPr="5CBDB1B6" w:rsidR="008F5563">
        <w:rPr>
          <w:rFonts w:ascii="Arial" w:hAnsi="Arial" w:eastAsia="Arial" w:cs="Arial"/>
          <w:lang w:val="en-US"/>
        </w:rPr>
        <w:t>to</w:t>
      </w:r>
      <w:r w:rsidRPr="5CBDB1B6" w:rsidR="00B15D6B">
        <w:rPr>
          <w:rFonts w:ascii="Arial" w:hAnsi="Arial" w:eastAsia="Arial" w:cs="Arial"/>
          <w:lang w:val="en-US"/>
        </w:rPr>
        <w:t xml:space="preserve"> the "North", digits 3-6 </w:t>
      </w:r>
      <w:r w:rsidRPr="5CBDB1B6" w:rsidR="008F5563">
        <w:rPr>
          <w:rFonts w:ascii="Arial" w:hAnsi="Arial" w:eastAsia="Arial" w:cs="Arial"/>
          <w:lang w:val="en-US"/>
        </w:rPr>
        <w:t>to</w:t>
      </w:r>
      <w:r w:rsidRPr="5CBDB1B6" w:rsidR="00B15D6B">
        <w:rPr>
          <w:rFonts w:ascii="Arial" w:hAnsi="Arial" w:eastAsia="Arial" w:cs="Arial"/>
          <w:lang w:val="en-US"/>
        </w:rPr>
        <w:t xml:space="preserve"> the "West", and digits 7-9 </w:t>
      </w:r>
      <w:r w:rsidRPr="5CBDB1B6" w:rsidR="008F5563">
        <w:rPr>
          <w:rFonts w:ascii="Arial" w:hAnsi="Arial" w:eastAsia="Arial" w:cs="Arial"/>
          <w:lang w:val="en-US"/>
        </w:rPr>
        <w:t>to</w:t>
      </w:r>
      <w:r w:rsidRPr="5CBDB1B6" w:rsidR="00B15D6B">
        <w:rPr>
          <w:rFonts w:ascii="Arial" w:hAnsi="Arial" w:eastAsia="Arial" w:cs="Arial"/>
          <w:lang w:val="en-US"/>
        </w:rPr>
        <w:t xml:space="preserve"> "The South". It should be noted that stratification by postcode results in different numbers compared to adding the cases contributed of regional centers. This may be due to patients being transferred from one region to another due to ICU </w:t>
      </w:r>
      <w:r w:rsidRPr="5CBDB1B6" w:rsidR="008F5563">
        <w:rPr>
          <w:rFonts w:ascii="Arial" w:hAnsi="Arial" w:eastAsia="Arial" w:cs="Arial"/>
          <w:lang w:val="en-US"/>
        </w:rPr>
        <w:t xml:space="preserve">and specialized ECMO </w:t>
      </w:r>
      <w:r w:rsidRPr="5CBDB1B6" w:rsidR="00B15D6B">
        <w:rPr>
          <w:rFonts w:ascii="Arial" w:hAnsi="Arial" w:eastAsia="Arial" w:cs="Arial"/>
          <w:lang w:val="en-US"/>
        </w:rPr>
        <w:t>capacity, but also due to residents living</w:t>
      </w:r>
      <w:r w:rsidRPr="5CBDB1B6" w:rsidR="008F5563">
        <w:rPr>
          <w:rFonts w:ascii="Arial" w:hAnsi="Arial" w:eastAsia="Arial" w:cs="Arial"/>
          <w:lang w:val="en-US"/>
        </w:rPr>
        <w:t xml:space="preserve"> or being hospitalized</w:t>
      </w:r>
      <w:r w:rsidRPr="5CBDB1B6" w:rsidR="00B15D6B">
        <w:rPr>
          <w:rFonts w:ascii="Arial" w:hAnsi="Arial" w:eastAsia="Arial" w:cs="Arial"/>
          <w:lang w:val="en-US"/>
        </w:rPr>
        <w:t xml:space="preserve"> in a region that is not identical to the region in which they are registered officially.</w:t>
      </w:r>
    </w:p>
    <w:p w:rsidRPr="007E65CB" w:rsidR="00B15D6B" w:rsidP="00B15D6B" w:rsidRDefault="00B15D6B" w14:paraId="2077ECFB" w14:textId="77777777">
      <w:pPr>
        <w:jc w:val="both"/>
        <w:rPr>
          <w:rFonts w:ascii="Arial" w:hAnsi="Arial" w:cs="Arial"/>
          <w:lang w:val="en-US"/>
        </w:rPr>
      </w:pPr>
      <w:r w:rsidRPr="007E65CB">
        <w:rPr>
          <w:rFonts w:ascii="Arial" w:hAnsi="Arial" w:cs="Arial"/>
          <w:lang w:val="en-US"/>
        </w:rPr>
        <w:t>Cohort stratification by pandemic wave</w:t>
      </w:r>
    </w:p>
    <w:p w:rsidRPr="007E65CB" w:rsidR="00B15D6B" w:rsidP="5495DFF8" w:rsidRDefault="00B15D6B" w14:paraId="31D5E8F3" w14:textId="006D1933">
      <w:pPr>
        <w:jc w:val="both"/>
        <w:rPr>
          <w:rFonts w:ascii="Arial" w:hAnsi="Arial" w:eastAsia="Arial" w:cs="Arial"/>
          <w:lang w:val="en-US"/>
        </w:rPr>
      </w:pPr>
      <w:r w:rsidRPr="5495DFF8" w:rsidR="00B15D6B">
        <w:rPr>
          <w:rFonts w:ascii="Arial" w:hAnsi="Arial" w:cs="Arial"/>
          <w:lang w:val="en-US"/>
        </w:rPr>
        <w:t xml:space="preserve">Pandemic waves were defined based on COVID-19 death data from the Robert Koch Institute as follows: 1st wave, from calendar week 10 to 31, inclusive, in 2020. Calendar weeks 32 in 2020 to 11, inclusive, in 2021 were selected for the 2nd wave </w:t>
      </w:r>
      <w:r w:rsidRPr="5495DFF8">
        <w:rPr>
          <w:rFonts w:ascii="Arial" w:hAnsi="Arial" w:cs="Arial"/>
          <w:lang w:val="en-US"/>
        </w:rPr>
        <w:fldChar w:fldCharType="begin"/>
      </w:r>
      <w:r w:rsidRPr="5495DFF8">
        <w:rPr>
          <w:rFonts w:ascii="Arial" w:hAnsi="Arial" w:cs="Arial"/>
          <w:lang w:val="en-US"/>
        </w:rPr>
        <w:instrText xml:space="preserve"> ADDIN EN.CITE &lt;EndNote&gt;&lt;Cite&gt;&lt;Author&gt;Robert Koch-Institut&lt;/Author&gt;&lt;Year&gt;2022&lt;/Year&gt;&lt;RecNum&gt;1026&lt;/RecNum&gt;&lt;DisplayText&gt;[2]&lt;/DisplayText&gt;&lt;record&gt;&lt;rec-number&gt;1026&lt;/rec-number&gt;&lt;foreign-keys&gt;&lt;key app="EN" db-id="zffp5epxfptw9ce5edwvafs69rv0xsxzzr9a" timestamp="1643964028"&gt;1026&lt;/key&gt;&lt;/foreign-keys&gt;&lt;ref-type name="Web Page"&gt;12&lt;/ref-type&gt;&lt;contributors&gt;&lt;authors&gt;&lt;author&gt;Robert Koch-Institut,&lt;/author&gt;&lt;/authors&gt;&lt;/contributors&gt;&lt;titles&gt;&lt;title&gt;[Deaths by date of death] German.&lt;/title&gt;&lt;/titles&gt;&lt;volume&gt;2022&lt;/volume&gt;&lt;number&gt;4 February&lt;/number&gt;&lt;dates&gt;&lt;year&gt;2022&lt;/year&gt;&lt;pub-dates&gt;&lt;date&gt;3 February&lt;/date&gt;&lt;/pub-dates&gt;&lt;/dates&gt;&lt;urls&gt;&lt;related-urls&gt;&lt;url&gt;https://www.rki.de/DE/Content/InfAZ/N/Neuartiges_Coronavirus/Projekte_RKI/COVID-19_Todesfaelle.html&lt;/url&gt;&lt;/related-urls&gt;&lt;/urls&gt;&lt;custom2&gt;4 February 2022&lt;/custom2&gt;&lt;/record&gt;&lt;/Cite&gt;&lt;/EndNote&gt;</w:instrText>
      </w:r>
      <w:r w:rsidRPr="5495DFF8">
        <w:rPr>
          <w:rFonts w:ascii="Arial" w:hAnsi="Arial" w:cs="Arial"/>
          <w:lang w:val="en-US"/>
        </w:rPr>
        <w:fldChar w:fldCharType="separate"/>
      </w:r>
      <w:r w:rsidRPr="5495DFF8" w:rsidR="00F55D3A">
        <w:rPr>
          <w:rFonts w:ascii="Arial" w:hAnsi="Arial" w:cs="Arial"/>
          <w:noProof/>
          <w:lang w:val="en-US"/>
        </w:rPr>
        <w:t>[2]</w:t>
      </w:r>
      <w:r w:rsidRPr="5495DFF8">
        <w:rPr>
          <w:rFonts w:ascii="Arial" w:hAnsi="Arial" w:cs="Arial"/>
          <w:lang w:val="en-US"/>
        </w:rPr>
        <w:fldChar w:fldCharType="end"/>
      </w:r>
      <w:r w:rsidRPr="5495DFF8" w:rsidR="00B15D6B">
        <w:rPr>
          <w:rFonts w:ascii="Arial" w:hAnsi="Arial" w:cs="Arial"/>
          <w:lang w:val="en-US"/>
        </w:rPr>
        <w:t xml:space="preserve">. The 3rd wave was defined as beginning calendar week 12 to 32, inclusive, in 2021. </w:t>
      </w:r>
    </w:p>
    <w:p w:rsidRPr="007E65CB" w:rsidR="00B15D6B" w:rsidP="00B15D6B" w:rsidRDefault="00B15D6B" w14:paraId="12F31B91" w14:textId="28AD26C3">
      <w:pPr>
        <w:jc w:val="both"/>
        <w:rPr>
          <w:rFonts w:ascii="Arial" w:hAnsi="Arial" w:eastAsia="Arial" w:cs="Arial"/>
          <w:lang w:val="en-US"/>
        </w:rPr>
      </w:pPr>
      <w:r w:rsidRPr="5495DFF8" w:rsidR="00B15D6B">
        <w:rPr>
          <w:rFonts w:ascii="Arial" w:hAnsi="Arial" w:eastAsia="Arial" w:cs="Arial"/>
          <w:lang w:val="en-US"/>
        </w:rPr>
        <w:t xml:space="preserve">Statistics </w:t>
      </w:r>
    </w:p>
    <w:p w:rsidR="00B15D6B" w:rsidP="00B15D6B" w:rsidRDefault="00B15D6B" w14:paraId="137536DC" w14:textId="19CA04CF">
      <w:pPr>
        <w:jc w:val="both"/>
        <w:rPr>
          <w:rFonts w:ascii="Arial" w:hAnsi="Arial" w:eastAsia="Arial" w:cs="Arial"/>
          <w:lang w:val="en-US"/>
        </w:rPr>
      </w:pPr>
      <w:r w:rsidRPr="007E65CB">
        <w:rPr>
          <w:rFonts w:ascii="Arial" w:hAnsi="Arial" w:eastAsia="Arial" w:cs="Arial"/>
          <w:lang w:val="en-US"/>
        </w:rPr>
        <w:lastRenderedPageBreak/>
        <w:t xml:space="preserve">The association between two variables was tested with Fisher’s exact test, two tailed, using https://www.graphpad.com/quickcalcs/contingency2/. </w:t>
      </w:r>
    </w:p>
    <w:p w:rsidRPr="00F031AA" w:rsidR="00C47591" w:rsidP="00B15D6B" w:rsidRDefault="00C47591" w14:paraId="762745FF" w14:textId="113DB46D">
      <w:pPr>
        <w:jc w:val="both"/>
        <w:rPr>
          <w:rFonts w:ascii="Arial" w:hAnsi="Arial" w:eastAsia="Arial" w:cs="Arial"/>
          <w:b/>
          <w:lang w:val="en-US"/>
        </w:rPr>
      </w:pPr>
      <w:r w:rsidRPr="00F031AA">
        <w:rPr>
          <w:rFonts w:ascii="Arial" w:hAnsi="Arial" w:eastAsia="Arial" w:cs="Arial"/>
          <w:b/>
          <w:lang w:val="en-US"/>
        </w:rPr>
        <w:t>Supplementary Discussion</w:t>
      </w:r>
    </w:p>
    <w:p w:rsidRPr="00F031AA" w:rsidR="00C47591" w:rsidP="00B15D6B" w:rsidRDefault="00C47591" w14:paraId="073F716C" w14:textId="28790F21">
      <w:pPr>
        <w:jc w:val="both"/>
        <w:rPr>
          <w:rFonts w:ascii="Arial" w:hAnsi="Arial" w:cs="Arial"/>
          <w:color w:val="000000" w:themeColor="text1"/>
          <w:lang w:val="en-US"/>
        </w:rPr>
      </w:pPr>
      <w:r w:rsidRPr="00F031AA">
        <w:rPr>
          <w:rFonts w:ascii="Arial" w:hAnsi="Arial" w:cs="Arial"/>
          <w:color w:val="000000" w:themeColor="text1"/>
          <w:lang w:val="en-US"/>
        </w:rPr>
        <w:t>The autopsied ECMO patients are distributed heterogeneously over four German regions. The lower percentage of COVID-19 ECMO autopsy cases in the North can be explained by the fact that in Hamburg, in a collaboration between forensic medicine and the local health authority, all COVID-19 positive deceased persons were autopsied during the first pandemic wave (Q1 and Q2 in 2020), leading to a higher percentage of non-hospitalized deceased COVID-19 patients that underwent autopsy</w:t>
      </w:r>
      <w:r w:rsidRPr="00F031AA" w:rsidR="00F55D3A">
        <w:rPr>
          <w:rFonts w:ascii="Arial" w:hAnsi="Arial" w:cs="Arial"/>
          <w:color w:val="000000" w:themeColor="text1"/>
          <w:lang w:val="en-US"/>
        </w:rPr>
        <w:t xml:space="preserve"> </w:t>
      </w:r>
      <w:r w:rsidRPr="00F031AA" w:rsidR="00F55D3A">
        <w:rPr>
          <w:rFonts w:ascii="Arial" w:hAnsi="Arial" w:cs="Arial"/>
          <w:color w:val="000000" w:themeColor="text1"/>
          <w:lang w:val="en-US"/>
        </w:rPr>
        <w:fldChar w:fldCharType="begin">
          <w:fldData xml:space="preserve">PEVuZE5vdGU+PENpdGU+PEF1dGhvcj5GaXR6ZWs8L0F1dGhvcj48WWVhcj4yMDIxPC9ZZWFyPjxS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</w:fldData>
        </w:fldChar>
      </w:r>
      <w:r w:rsidRPr="00F031AA" w:rsidR="00F55D3A">
        <w:rPr>
          <w:rFonts w:ascii="Arial" w:hAnsi="Arial" w:cs="Arial"/>
          <w:color w:val="000000" w:themeColor="text1"/>
          <w:lang w:val="en-US"/>
        </w:rPr>
        <w:instrText xml:space="preserve"> ADDIN EN.CITE </w:instrText>
      </w:r>
      <w:r w:rsidRPr="00F031AA" w:rsidR="00F55D3A">
        <w:rPr>
          <w:rFonts w:ascii="Arial" w:hAnsi="Arial" w:cs="Arial"/>
          <w:color w:val="000000" w:themeColor="text1"/>
          <w:lang w:val="en-US"/>
        </w:rPr>
        <w:fldChar w:fldCharType="begin">
          <w:fldData xml:space="preserve">PEVuZE5vdGU+PENpdGU+PEF1dGhvcj5GaXR6ZWs8L0F1dGhvcj48WWVhcj4yMDIxPC9ZZWFyPjxS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</w:fldData>
        </w:fldChar>
      </w:r>
      <w:r w:rsidRPr="00F031AA" w:rsidR="00F55D3A">
        <w:rPr>
          <w:rFonts w:ascii="Arial" w:hAnsi="Arial" w:cs="Arial"/>
          <w:color w:val="000000" w:themeColor="text1"/>
          <w:lang w:val="en-US"/>
        </w:rPr>
        <w:instrText xml:space="preserve"> ADDIN EN.CITE.DATA </w:instrText>
      </w:r>
      <w:r w:rsidRPr="00F031AA" w:rsidR="00F55D3A">
        <w:rPr>
          <w:rFonts w:ascii="Arial" w:hAnsi="Arial" w:cs="Arial"/>
          <w:color w:val="000000" w:themeColor="text1"/>
          <w:lang w:val="en-US"/>
        </w:rPr>
      </w:r>
      <w:r w:rsidRPr="00F031AA" w:rsidR="00F55D3A">
        <w:rPr>
          <w:rFonts w:ascii="Arial" w:hAnsi="Arial" w:cs="Arial"/>
          <w:color w:val="000000" w:themeColor="text1"/>
          <w:lang w:val="en-US"/>
        </w:rPr>
        <w:fldChar w:fldCharType="end"/>
      </w:r>
      <w:r w:rsidRPr="00F031AA" w:rsidR="00F55D3A">
        <w:rPr>
          <w:rFonts w:ascii="Arial" w:hAnsi="Arial" w:cs="Arial"/>
          <w:color w:val="000000" w:themeColor="text1"/>
          <w:lang w:val="en-US"/>
        </w:rPr>
        <w:fldChar w:fldCharType="separate"/>
      </w:r>
      <w:r w:rsidRPr="00F031AA" w:rsidR="00F55D3A">
        <w:rPr>
          <w:rFonts w:ascii="Arial" w:hAnsi="Arial" w:cs="Arial"/>
          <w:noProof/>
          <w:color w:val="000000" w:themeColor="text1"/>
          <w:lang w:val="en-US"/>
        </w:rPr>
        <w:t>[3]</w:t>
      </w:r>
      <w:r w:rsidRPr="00F031AA" w:rsidR="00F55D3A">
        <w:rPr>
          <w:rFonts w:ascii="Arial" w:hAnsi="Arial" w:cs="Arial"/>
          <w:color w:val="000000" w:themeColor="text1"/>
          <w:lang w:val="en-US"/>
        </w:rPr>
        <w:fldChar w:fldCharType="end"/>
      </w:r>
      <w:r w:rsidRPr="00F031AA">
        <w:rPr>
          <w:rFonts w:ascii="Arial" w:hAnsi="Arial" w:cs="Arial"/>
          <w:color w:val="000000" w:themeColor="text1"/>
          <w:lang w:val="en-US"/>
        </w:rPr>
        <w:t>.</w:t>
      </w:r>
    </w:p>
    <w:p w:rsidRPr="00F13BAD" w:rsidR="00C47591" w:rsidP="00C47591" w:rsidRDefault="00C47591" w14:paraId="09312785" w14:textId="16DE9F65">
      <w:pPr>
        <w:jc w:val="both"/>
        <w:rPr>
          <w:rFonts w:ascii="Arial" w:hAnsi="Arial" w:cs="Arial"/>
          <w:color w:val="000000" w:themeColor="text1"/>
          <w:lang w:val="en-US"/>
        </w:rPr>
      </w:pPr>
      <w:r w:rsidRPr="00F031AA">
        <w:rPr>
          <w:rFonts w:ascii="Arial" w:hAnsi="Arial" w:cs="Arial"/>
          <w:color w:val="000000"/>
          <w:shd w:val="clear" w:color="auto" w:fill="FFFFFF"/>
          <w:lang w:val="en-US"/>
        </w:rPr>
        <w:t xml:space="preserve">Other limitations include that the autopsy registry does not yet include all COVID autopsies in Germany. </w:t>
      </w:r>
      <w:r w:rsidRPr="00F031AA">
        <w:rPr>
          <w:rFonts w:ascii="Arial" w:hAnsi="Arial" w:cs="Arial"/>
          <w:color w:val="000000" w:themeColor="text1"/>
          <w:lang w:val="en-US"/>
        </w:rPr>
        <w:t xml:space="preserve">We estimate that about 10% of autopsied cases in Germany are missing for complete coverage. </w:t>
      </w:r>
      <w:r w:rsidRPr="00F031AA">
        <w:rPr>
          <w:rFonts w:ascii="Arial" w:hAnsi="Arial" w:cs="Arial"/>
          <w:color w:val="000000"/>
          <w:shd w:val="clear" w:color="auto" w:fill="FFFFFF"/>
          <w:lang w:val="en-US"/>
        </w:rPr>
        <w:t xml:space="preserve">Still, we assume the collective is well representative </w:t>
      </w:r>
      <w:r w:rsidRPr="00F031AA">
        <w:rPr>
          <w:rFonts w:ascii="Arial" w:hAnsi="Arial" w:cs="Arial"/>
          <w:color w:val="000000"/>
          <w:shd w:val="clear" w:color="auto" w:fill="FFFFFF"/>
          <w:lang w:val="en-US"/>
        </w:rPr>
        <w:fldChar w:fldCharType="begin"/>
      </w:r>
      <w:r w:rsidRPr="00F031AA" w:rsidR="00F55D3A">
        <w:rPr>
          <w:rFonts w:ascii="Arial" w:hAnsi="Arial" w:cs="Arial"/>
          <w:color w:val="000000"/>
          <w:shd w:val="clear" w:color="auto" w:fill="FFFFFF"/>
          <w:lang w:val="en-US"/>
        </w:rPr>
        <w:instrText xml:space="preserve"> ADDIN EN.CITE &lt;EndNote&gt;&lt;Cite&gt;&lt;Author&gt;von Stillfried&lt;/Author&gt;&lt;Year&gt;2022, in press&lt;/Year&gt;&lt;RecNum&gt;1030&lt;/RecNum&gt;&lt;DisplayText&gt;[1]&lt;/DisplayText&gt;&lt;record&gt;&lt;rec-number&gt;1030&lt;/rec-number&gt;&lt;foreign-keys&gt;&lt;key app="EN" db-id="zffp5epxfptw9ce5edwvafs69rv0xsxzzr9a" timestamp="1643986426"&gt;1030&lt;/key&gt;&lt;/foreign-keys&gt;&lt;ref-type name="Journal Article"&gt;17&lt;/ref-type&gt;&lt;contributors&gt;&lt;authors&gt;&lt;author&gt;von Stillfried, S.&lt;/author&gt;&lt;author&gt;Bulow, R. D.&lt;/author&gt;&lt;author&gt;Röhrig, Rainer&lt;/author&gt;&lt;author&gt;Boor, P.&lt;/author&gt;&lt;/authors&gt;&lt;/contributors&gt;&lt;titles&gt;&lt;title&gt;First report from the German COVID-19 autopsy registry&lt;/title&gt;&lt;secondary-title&gt;The Lancet Regional Health - Europe&lt;/secondary-title&gt;&lt;/titles&gt;&lt;periodical&gt;&lt;full-title&gt;The Lancet Regional Health - Europe&lt;/full-title&gt;&lt;/periodical&gt;&lt;dates&gt;&lt;year&gt;2022, in press&lt;/year&gt;&lt;/dates&gt;&lt;urls&gt;&lt;/urls&gt;&lt;/record&gt;&lt;/Cite&gt;&lt;/EndNote&gt;</w:instrText>
      </w:r>
      <w:r w:rsidRPr="00F031AA">
        <w:rPr>
          <w:rFonts w:ascii="Arial" w:hAnsi="Arial" w:cs="Arial"/>
          <w:color w:val="000000"/>
          <w:shd w:val="clear" w:color="auto" w:fill="FFFFFF"/>
          <w:lang w:val="en-US"/>
        </w:rPr>
        <w:fldChar w:fldCharType="separate"/>
      </w:r>
      <w:r w:rsidRPr="00F031AA" w:rsidR="00F55D3A">
        <w:rPr>
          <w:rFonts w:ascii="Arial" w:hAnsi="Arial" w:cs="Arial"/>
          <w:noProof/>
          <w:color w:val="000000"/>
          <w:shd w:val="clear" w:color="auto" w:fill="FFFFFF"/>
          <w:lang w:val="en-US"/>
        </w:rPr>
        <w:t>[1]</w:t>
      </w:r>
      <w:r w:rsidRPr="00F031AA">
        <w:rPr>
          <w:rFonts w:ascii="Arial" w:hAnsi="Arial" w:cs="Arial"/>
          <w:color w:val="000000"/>
          <w:shd w:val="clear" w:color="auto" w:fill="FFFFFF"/>
          <w:lang w:val="en-US"/>
        </w:rPr>
        <w:fldChar w:fldCharType="end"/>
      </w:r>
      <w:r w:rsidRPr="00F031AA">
        <w:rPr>
          <w:rFonts w:ascii="Arial" w:hAnsi="Arial" w:cs="Arial"/>
          <w:color w:val="000000"/>
          <w:shd w:val="clear" w:color="auto" w:fill="FFFFFF"/>
          <w:lang w:val="en-US"/>
        </w:rPr>
        <w:t xml:space="preserve">. Other limitations include the retrospective nature of the registry data. </w:t>
      </w:r>
      <w:r w:rsidRPr="00F031AA" w:rsidR="00AC51E1">
        <w:rPr>
          <w:rFonts w:ascii="Arial" w:hAnsi="Arial" w:cs="Arial"/>
          <w:color w:val="000000"/>
          <w:shd w:val="clear" w:color="auto" w:fill="FFFFFF"/>
          <w:lang w:val="en-US"/>
        </w:rPr>
        <w:t>Also, p</w:t>
      </w:r>
      <w:r w:rsidRPr="00F031AA" w:rsidR="00AC51E1">
        <w:rPr>
          <w:rFonts w:ascii="Arial" w:hAnsi="Arial" w:cs="Arial"/>
          <w:color w:val="000000" w:themeColor="text1"/>
          <w:lang w:val="en-US"/>
        </w:rPr>
        <w:t>ost-mortem imaging before autopsy was performed only by single centers in Germany due to capacity issues.</w:t>
      </w:r>
    </w:p>
    <w:p w:rsidR="00F55D3A" w:rsidP="00B15D6B" w:rsidRDefault="00F55D3A" w14:paraId="1FC787F7" w14:textId="77777777">
      <w:pPr>
        <w:jc w:val="both"/>
        <w:rPr>
          <w:rFonts w:ascii="Arial" w:hAnsi="Arial" w:eastAsia="Arial" w:cs="Arial"/>
          <w:lang w:val="en-US"/>
        </w:rPr>
      </w:pPr>
    </w:p>
    <w:p w:rsidRPr="00F031AA" w:rsidR="00F55D3A" w:rsidP="00B15D6B" w:rsidRDefault="00F031AA" w14:paraId="5937B633" w14:textId="72CF023D">
      <w:pPr>
        <w:jc w:val="both"/>
        <w:rPr>
          <w:rFonts w:ascii="Arial" w:hAnsi="Arial" w:eastAsia="Arial" w:cs="Arial"/>
          <w:b/>
          <w:lang w:val="en-US"/>
        </w:rPr>
      </w:pPr>
      <w:r w:rsidRPr="00F031AA">
        <w:rPr>
          <w:rFonts w:ascii="Arial" w:hAnsi="Arial" w:eastAsia="Arial" w:cs="Arial"/>
          <w:b/>
          <w:lang w:val="en-US"/>
        </w:rPr>
        <w:t>Supplementary References</w:t>
      </w:r>
    </w:p>
    <w:p w:rsidRPr="00F55D3A" w:rsidR="00F55D3A" w:rsidP="00F55D3A" w:rsidRDefault="00F55D3A" w14:paraId="66CC7E22" w14:textId="77777777">
      <w:pPr>
        <w:pStyle w:val="EndNoteBibliography"/>
        <w:spacing w:after="0"/>
        <w:ind w:left="720" w:hanging="720"/>
      </w:pPr>
      <w:r>
        <w:rPr>
          <w:rFonts w:ascii="Arial" w:hAnsi="Arial" w:eastAsia="Arial" w:cs="Arial"/>
        </w:rPr>
        <w:fldChar w:fldCharType="begin"/>
      </w:r>
      <w:r>
        <w:rPr>
          <w:rFonts w:ascii="Arial" w:hAnsi="Arial" w:eastAsia="Arial" w:cs="Arial"/>
        </w:rPr>
        <w:instrText xml:space="preserve"> ADDIN EN.REFLIST </w:instrText>
      </w:r>
      <w:r>
        <w:rPr>
          <w:rFonts w:ascii="Arial" w:hAnsi="Arial" w:eastAsia="Arial" w:cs="Arial"/>
        </w:rPr>
        <w:fldChar w:fldCharType="separate"/>
      </w:r>
      <w:r w:rsidRPr="00F55D3A">
        <w:t>1.</w:t>
      </w:r>
      <w:r w:rsidRPr="00F55D3A">
        <w:tab/>
      </w:r>
      <w:r w:rsidRPr="00F55D3A">
        <w:t xml:space="preserve">von Stillfried S, Bulow RD, Röhrig R, Boor P: </w:t>
      </w:r>
      <w:r w:rsidRPr="00F55D3A">
        <w:rPr>
          <w:b/>
        </w:rPr>
        <w:t>First report from the German COVID-19 autopsy registry</w:t>
      </w:r>
      <w:r w:rsidRPr="00F55D3A">
        <w:t xml:space="preserve">. </w:t>
      </w:r>
      <w:r w:rsidRPr="00F55D3A">
        <w:rPr>
          <w:i/>
        </w:rPr>
        <w:t xml:space="preserve">The Lancet Regional Health - Europe </w:t>
      </w:r>
      <w:r w:rsidRPr="00F55D3A">
        <w:t>2022, in press.</w:t>
      </w:r>
    </w:p>
    <w:p w:rsidRPr="00F55D3A" w:rsidR="00F55D3A" w:rsidP="00F55D3A" w:rsidRDefault="00F55D3A" w14:paraId="35CE4480" w14:textId="43CCF252">
      <w:pPr>
        <w:pStyle w:val="EndNoteBibliography"/>
        <w:spacing w:after="0"/>
        <w:ind w:left="720" w:hanging="720"/>
      </w:pPr>
      <w:r w:rsidRPr="00F55D3A">
        <w:t>2.</w:t>
      </w:r>
      <w:r w:rsidRPr="00F55D3A">
        <w:tab/>
      </w:r>
      <w:r w:rsidRPr="00F55D3A">
        <w:rPr>
          <w:b/>
        </w:rPr>
        <w:t xml:space="preserve">[Deaths by date of death] German. </w:t>
      </w:r>
      <w:r w:rsidRPr="00F55D3A">
        <w:t>[</w:t>
      </w:r>
      <w:hyperlink w:history="1" r:id="rId7">
        <w:r w:rsidRPr="00F55D3A">
          <w:rPr>
            <w:rStyle w:val="Hyperlink"/>
          </w:rPr>
          <w:t>https://www.rki.de/DE/Content/InfAZ/N/Neuartiges_Coronavirus/Projekte_RKI/COVID-19_Todesfaelle.html</w:t>
        </w:r>
      </w:hyperlink>
      <w:r w:rsidRPr="00F55D3A">
        <w:t>]</w:t>
      </w:r>
    </w:p>
    <w:p w:rsidRPr="00F55D3A" w:rsidR="00F55D3A" w:rsidP="00F55D3A" w:rsidRDefault="00F55D3A" w14:paraId="0488CFD5" w14:textId="77777777">
      <w:pPr>
        <w:pStyle w:val="EndNoteBibliography"/>
        <w:ind w:left="720" w:hanging="720"/>
      </w:pPr>
      <w:r w:rsidRPr="00F55D3A">
        <w:t>3.</w:t>
      </w:r>
      <w:r w:rsidRPr="00F55D3A">
        <w:tab/>
      </w:r>
      <w:r w:rsidRPr="00F55D3A">
        <w:t>Fitzek A, Schadler J, Dietz E, Ron A, Gerling M, Kammal AL, Lohner L, Falck C, Mobius D, Goebels H</w:t>
      </w:r>
      <w:r w:rsidRPr="00F55D3A">
        <w:rPr>
          <w:i/>
        </w:rPr>
        <w:t xml:space="preserve"> et al</w:t>
      </w:r>
      <w:r w:rsidRPr="00F55D3A">
        <w:t xml:space="preserve">: </w:t>
      </w:r>
      <w:r w:rsidRPr="00F55D3A">
        <w:rPr>
          <w:b/>
        </w:rPr>
        <w:t>Prospective postmortem evaluation of 735 consecutive SARS-CoV-2-associated death cases</w:t>
      </w:r>
      <w:r w:rsidRPr="00F55D3A">
        <w:t xml:space="preserve">. </w:t>
      </w:r>
      <w:r w:rsidRPr="00F55D3A">
        <w:rPr>
          <w:i/>
        </w:rPr>
        <w:t xml:space="preserve">Sci Rep </w:t>
      </w:r>
      <w:r w:rsidRPr="00F55D3A">
        <w:t xml:space="preserve">2021, </w:t>
      </w:r>
      <w:r w:rsidRPr="00F55D3A">
        <w:rPr>
          <w:b/>
        </w:rPr>
        <w:t>11</w:t>
      </w:r>
      <w:r w:rsidRPr="00F55D3A">
        <w:t>(1):19342.</w:t>
      </w:r>
    </w:p>
    <w:p w:rsidRPr="007E65CB" w:rsidR="00C47591" w:rsidP="00B15D6B" w:rsidRDefault="00F55D3A" w14:paraId="559D28C0" w14:textId="766B116F">
      <w:pPr>
        <w:jc w:val="both"/>
        <w:rPr>
          <w:rFonts w:ascii="Arial" w:hAnsi="Arial" w:eastAsia="Arial" w:cs="Arial"/>
          <w:lang w:val="en-US"/>
        </w:rPr>
      </w:pPr>
      <w:r>
        <w:rPr>
          <w:rFonts w:ascii="Arial" w:hAnsi="Arial" w:eastAsia="Arial" w:cs="Arial"/>
          <w:lang w:val="en-US"/>
        </w:rPr>
        <w:fldChar w:fldCharType="end"/>
      </w:r>
      <w:bookmarkStart w:name="_GoBack" w:id="1"/>
      <w:bookmarkEnd w:id="1"/>
    </w:p>
    <w:sectPr w:rsidRPr="007E65CB" w:rsidR="00C47591">
      <w:pgSz w:w="11906" w:h="16838" w:orient="portrait"/>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ritical Ca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fp5epxfptw9ce5edwvafs69rv0xsxzzr9a&quot;&gt;COVID-19 Autopsy studies-Converted&lt;record-ids&gt;&lt;item&gt;1002&lt;/item&gt;&lt;item&gt;1026&lt;/item&gt;&lt;item&gt;1030&lt;/item&gt;&lt;/record-ids&gt;&lt;/item&gt;&lt;/Libraries&gt;"/>
  </w:docVars>
  <w:rsids>
    <w:rsidRoot w:val="00B15D6B"/>
    <w:rsid w:val="00084945"/>
    <w:rsid w:val="000F274D"/>
    <w:rsid w:val="00406EE0"/>
    <w:rsid w:val="007F6E36"/>
    <w:rsid w:val="008C6FEE"/>
    <w:rsid w:val="008F5563"/>
    <w:rsid w:val="009624B6"/>
    <w:rsid w:val="00991FAA"/>
    <w:rsid w:val="00A97DE3"/>
    <w:rsid w:val="00AC51E1"/>
    <w:rsid w:val="00AE1BC3"/>
    <w:rsid w:val="00B15D6B"/>
    <w:rsid w:val="00C47591"/>
    <w:rsid w:val="00F031AA"/>
    <w:rsid w:val="00F55D3A"/>
    <w:rsid w:val="0A04F8C8"/>
    <w:rsid w:val="0EC5D9F5"/>
    <w:rsid w:val="263018B1"/>
    <w:rsid w:val="28E03FA0"/>
    <w:rsid w:val="2FF5F2EB"/>
    <w:rsid w:val="348704E5"/>
    <w:rsid w:val="3BC5F807"/>
    <w:rsid w:val="3D61C868"/>
    <w:rsid w:val="43B7E18F"/>
    <w:rsid w:val="494C214E"/>
    <w:rsid w:val="52819B08"/>
    <w:rsid w:val="5495DFF8"/>
    <w:rsid w:val="57F9690E"/>
    <w:rsid w:val="5CBDB1B6"/>
    <w:rsid w:val="641AFE4E"/>
    <w:rsid w:val="68177A5E"/>
    <w:rsid w:val="7288B4FF"/>
    <w:rsid w:val="729109B4"/>
    <w:rsid w:val="780C21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9454"/>
  <w15:chartTrackingRefBased/>
  <w15:docId w15:val="{14D45227-E3BD-40E1-BC58-79D1BE99A6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rd" w:default="1">
    <w:name w:val="Normal"/>
    <w:qFormat/>
    <w:rsid w:val="00B15D6B"/>
  </w:style>
  <w:style w:type="character" w:styleId="Absatz-Standardschriftart" w:default="1">
    <w:name w:val="Default Paragraph Font"/>
    <w:uiPriority w:val="1"/>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Sprechblasentext">
    <w:name w:val="Balloon Text"/>
    <w:basedOn w:val="Standard"/>
    <w:link w:val="SprechblasentextZchn"/>
    <w:uiPriority w:val="99"/>
    <w:semiHidden/>
    <w:unhideWhenUsed/>
    <w:rsid w:val="00F55D3A"/>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F55D3A"/>
    <w:rPr>
      <w:rFonts w:ascii="Segoe UI" w:hAnsi="Segoe UI" w:cs="Segoe UI"/>
      <w:sz w:val="18"/>
      <w:szCs w:val="18"/>
    </w:rPr>
  </w:style>
  <w:style w:type="paragraph" w:styleId="EndNoteBibliographyTitle" w:customStyle="1">
    <w:name w:val="EndNote Bibliography Title"/>
    <w:basedOn w:val="Standard"/>
    <w:link w:val="EndNoteBibliographyTitleZchn"/>
    <w:rsid w:val="00F55D3A"/>
    <w:pPr>
      <w:spacing w:after="0"/>
      <w:jc w:val="center"/>
    </w:pPr>
    <w:rPr>
      <w:rFonts w:ascii="Calibri" w:hAnsi="Calibri" w:cs="Calibri"/>
      <w:noProof/>
      <w:lang w:val="en-US"/>
    </w:rPr>
  </w:style>
  <w:style w:type="character" w:styleId="EndNoteBibliographyTitleZchn" w:customStyle="1">
    <w:name w:val="EndNote Bibliography Title Zchn"/>
    <w:basedOn w:val="Absatz-Standardschriftart"/>
    <w:link w:val="EndNoteBibliographyTitle"/>
    <w:rsid w:val="00F55D3A"/>
    <w:rPr>
      <w:rFonts w:ascii="Calibri" w:hAnsi="Calibri" w:cs="Calibri"/>
      <w:noProof/>
      <w:lang w:val="en-US"/>
    </w:rPr>
  </w:style>
  <w:style w:type="paragraph" w:styleId="EndNoteBibliography" w:customStyle="1">
    <w:name w:val="EndNote Bibliography"/>
    <w:basedOn w:val="Standard"/>
    <w:link w:val="EndNoteBibliographyZchn"/>
    <w:rsid w:val="00F55D3A"/>
    <w:pPr>
      <w:spacing w:line="240" w:lineRule="auto"/>
      <w:jc w:val="both"/>
    </w:pPr>
    <w:rPr>
      <w:rFonts w:ascii="Calibri" w:hAnsi="Calibri" w:cs="Calibri"/>
      <w:noProof/>
      <w:lang w:val="en-US"/>
    </w:rPr>
  </w:style>
  <w:style w:type="character" w:styleId="EndNoteBibliographyZchn" w:customStyle="1">
    <w:name w:val="EndNote Bibliography Zchn"/>
    <w:basedOn w:val="Absatz-Standardschriftart"/>
    <w:link w:val="EndNoteBibliography"/>
    <w:rsid w:val="00F55D3A"/>
    <w:rPr>
      <w:rFonts w:ascii="Calibri" w:hAnsi="Calibri" w:cs="Calibri"/>
      <w:noProof/>
      <w:lang w:val="en-US"/>
    </w:rPr>
  </w:style>
  <w:style w:type="character" w:styleId="Hyperlink">
    <w:name w:val="Hyperlink"/>
    <w:basedOn w:val="Absatz-Standardschriftart"/>
    <w:uiPriority w:val="99"/>
    <w:unhideWhenUsed/>
    <w:rsid w:val="00F55D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hyperlink" Target="https://www.rki.de/DE/Content/InfAZ/N/Neuartiges_Coronavirus/Projekte_RKI/COVID-19_Todesfaelle.html" TargetMode="Externa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C030EF98F961042BF02B16A844511A6" ma:contentTypeVersion="13" ma:contentTypeDescription="Ein neues Dokument erstellen." ma:contentTypeScope="" ma:versionID="2178237622d826d54df3d0fb9be5b418">
  <xsd:schema xmlns:xsd="http://www.w3.org/2001/XMLSchema" xmlns:xs="http://www.w3.org/2001/XMLSchema" xmlns:p="http://schemas.microsoft.com/office/2006/metadata/properties" xmlns:ns3="4375e201-8613-479d-abed-5623797d827d" xmlns:ns4="95c82c2a-8a05-4864-8729-5a5549e032ba" targetNamespace="http://schemas.microsoft.com/office/2006/metadata/properties" ma:root="true" ma:fieldsID="1ba2a7758a261e7ff74919a84d54ed69" ns3:_="" ns4:_="">
    <xsd:import namespace="4375e201-8613-479d-abed-5623797d827d"/>
    <xsd:import namespace="95c82c2a-8a05-4864-8729-5a5549e032b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5e201-8613-479d-abed-5623797d8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82c2a-8a05-4864-8729-5a5549e032b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SharingHintHash" ma:index="12"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5334CE-7796-43CE-8793-0E26C0B5482C}">
  <ds:schemaRefs>
    <ds:schemaRef ds:uri="http://schemas.microsoft.com/office/2006/metadata/properties"/>
    <ds:schemaRef ds:uri="4375e201-8613-479d-abed-5623797d827d"/>
    <ds:schemaRef ds:uri="http://purl.org/dc/terms/"/>
    <ds:schemaRef ds:uri="95c82c2a-8a05-4864-8729-5a5549e032ba"/>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0410A19-6B69-479A-A23D-2F3B51A50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5e201-8613-479d-abed-5623797d827d"/>
    <ds:schemaRef ds:uri="95c82c2a-8a05-4864-8729-5a5549e03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D193F8-936D-4C64-B7D0-9BD21E9D739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Universitätsklinikum Aachen AöR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Saskia</dc:creator>
  <keywords/>
  <dc:description/>
  <lastModifiedBy>Freifrau von Stillfried und Rattonitz, Saskia</lastModifiedBy>
  <revision>5</revision>
  <dcterms:created xsi:type="dcterms:W3CDTF">2022-02-16T16:59:00.0000000Z</dcterms:created>
  <dcterms:modified xsi:type="dcterms:W3CDTF">2022-02-22T12:54:24.5367508Z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0x010100EC030EF98F961042BF02B16A844511A6</vt:lpwstr>
  </property>
</Properties>
</file>