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D865D" w14:textId="5B91B54A" w:rsidR="00CB4B35" w:rsidRPr="005A4F82" w:rsidRDefault="005A4F82" w:rsidP="005A4F8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A4F82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DATA </w:t>
      </w:r>
    </w:p>
    <w:p w14:paraId="45487CB8" w14:textId="77777777" w:rsidR="00CB4B35" w:rsidRPr="005A4F82" w:rsidRDefault="00CB4B35" w:rsidP="005A4F8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FDA5D3" w14:textId="255009B5" w:rsidR="006D2D35" w:rsidRDefault="005A4F82" w:rsidP="005A4F8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Methods</w:t>
      </w:r>
    </w:p>
    <w:p w14:paraId="0A91256C" w14:textId="3ABCB1A2" w:rsidR="00ED7C80" w:rsidRPr="00EF0079" w:rsidRDefault="00ED7C80" w:rsidP="005A4F82">
      <w:pPr>
        <w:spacing w:after="0" w:line="48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Design and population</w:t>
      </w:r>
    </w:p>
    <w:p w14:paraId="6EE985C5" w14:textId="4F1B22C8" w:rsidR="006D2D35" w:rsidRPr="005A4F82" w:rsidRDefault="006D2D35" w:rsidP="005A4F82">
      <w:pPr>
        <w:pStyle w:val="NoSpacing"/>
        <w:spacing w:line="48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5A4F82">
        <w:rPr>
          <w:rFonts w:ascii="Times New Roman" w:hAnsi="Times New Roman" w:cs="Times New Roman"/>
          <w:sz w:val="24"/>
          <w:szCs w:val="24"/>
          <w:lang w:val="en-US"/>
        </w:rPr>
        <w:t>We retrospective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collected data 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>for patients admitted to any of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15 ICUs in Western France, from February 1, 2020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>, to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December 31, 2020. 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>The data for each patient were entered into an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electronic</w:t>
      </w:r>
      <w:r w:rsidR="005A4F82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case report form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(Castor EDC, Amsterdam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>, The Netherlands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) by the investigators in each </w:t>
      </w:r>
      <w:r w:rsidR="005A4F82" w:rsidRPr="005A4F82">
        <w:rPr>
          <w:rFonts w:ascii="Times New Roman" w:hAnsi="Times New Roman" w:cs="Times New Roman"/>
          <w:sz w:val="24"/>
          <w:szCs w:val="24"/>
          <w:lang w:val="en-US"/>
        </w:rPr>
        <w:t>participa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>ting</w:t>
      </w:r>
      <w:r w:rsidR="005A4F82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center.</w:t>
      </w:r>
    </w:p>
    <w:p w14:paraId="6FF864B8" w14:textId="1D072CC1" w:rsidR="006D2D35" w:rsidRPr="005A4F82" w:rsidRDefault="006D2D35" w:rsidP="00EF0079">
      <w:pPr>
        <w:pStyle w:val="NoSpacing"/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A4F82">
        <w:rPr>
          <w:rFonts w:ascii="Times New Roman" w:hAnsi="Times New Roman" w:cs="Times New Roman"/>
          <w:sz w:val="24"/>
          <w:szCs w:val="24"/>
          <w:lang w:val="en-US"/>
        </w:rPr>
        <w:t>Patient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older than 18 years old were eligible for inclusion if 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>they required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invasive 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 xml:space="preserve">mechanical ventilation (MV)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>longer</w:t>
      </w:r>
      <w:r w:rsidR="005A4F82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than 48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 xml:space="preserve"> to treat acute respiratory distress syndrome and had a</w:t>
      </w:r>
      <w:r w:rsidR="005A4F82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positive reverse transcriptase-polymerase chain reaction </w:t>
      </w:r>
      <w:r w:rsidR="0045790E">
        <w:rPr>
          <w:rFonts w:ascii="Times New Roman" w:hAnsi="Times New Roman" w:cs="Times New Roman"/>
          <w:sz w:val="24"/>
          <w:szCs w:val="24"/>
          <w:lang w:val="en-US"/>
        </w:rPr>
        <w:t xml:space="preserve">test </w:t>
      </w:r>
      <w:r w:rsidR="005A4F82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for SARS-CoV-2 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gramStart"/>
      <w:r w:rsidR="005A4F82">
        <w:rPr>
          <w:rFonts w:ascii="Times New Roman" w:hAnsi="Times New Roman" w:cs="Times New Roman"/>
          <w:sz w:val="24"/>
          <w:szCs w:val="24"/>
          <w:lang w:val="en-US"/>
        </w:rPr>
        <w:t>one</w:t>
      </w:r>
      <w:proofErr w:type="gramEnd"/>
      <w:r w:rsidR="005A4F82">
        <w:rPr>
          <w:rFonts w:ascii="Times New Roman" w:hAnsi="Times New Roman" w:cs="Times New Roman"/>
          <w:sz w:val="24"/>
          <w:szCs w:val="24"/>
          <w:lang w:val="en-US"/>
        </w:rPr>
        <w:t xml:space="preserve"> or more upper and/or lower respiratory tract samples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A4F82">
        <w:rPr>
          <w:rFonts w:ascii="Times New Roman" w:hAnsi="Times New Roman" w:cs="Times New Roman"/>
          <w:sz w:val="24"/>
          <w:szCs w:val="24"/>
          <w:lang w:val="en-US"/>
        </w:rPr>
        <w:t xml:space="preserve"> We did not include pregnant women or patients under guardianship.</w:t>
      </w:r>
    </w:p>
    <w:p w14:paraId="672DA108" w14:textId="161151BA" w:rsidR="006D2D35" w:rsidRPr="005A4F82" w:rsidRDefault="006D2D35" w:rsidP="00EF0079">
      <w:pPr>
        <w:pStyle w:val="NoSpacing"/>
        <w:spacing w:line="480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The main study outcome was </w:t>
      </w:r>
      <w:r w:rsidR="00ED7C8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ED7C80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cumulative </w:t>
      </w:r>
      <w:r w:rsidR="00ED7C80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incidence </w:t>
      </w:r>
      <w:r w:rsidR="00ED7C80">
        <w:rPr>
          <w:rFonts w:ascii="Times New Roman" w:hAnsi="Times New Roman" w:cs="Times New Roman"/>
          <w:sz w:val="24"/>
          <w:szCs w:val="24"/>
          <w:lang w:val="en-US"/>
        </w:rPr>
        <w:t>of ventilator-associated pneumonia (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VAP</w:t>
      </w:r>
      <w:r w:rsidR="00ED7C80">
        <w:rPr>
          <w:rFonts w:ascii="Times New Roman" w:hAnsi="Times New Roman" w:cs="Times New Roman"/>
          <w:sz w:val="24"/>
          <w:szCs w:val="24"/>
          <w:lang w:val="en-US"/>
        </w:rPr>
        <w:t xml:space="preserve">), which was compared in the group given early corticosteroid treatment (cases) and in the group given no or </w:t>
      </w:r>
      <w:r w:rsidR="0045790E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="00ED7C80">
        <w:rPr>
          <w:rFonts w:ascii="Times New Roman" w:hAnsi="Times New Roman" w:cs="Times New Roman"/>
          <w:sz w:val="24"/>
          <w:szCs w:val="24"/>
          <w:lang w:val="en-US"/>
        </w:rPr>
        <w:t>delayed corticosteroid treatment (controls)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. Secondary outcomes </w:t>
      </w:r>
      <w:r w:rsidR="00ED7C80"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="00ED7C80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day</w:t>
      </w:r>
      <w:r w:rsidR="00ED7C8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90 mortality, MV duration, other organ dysfunctions</w:t>
      </w:r>
      <w:r w:rsidR="00ED7C8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and VAP characteristics.</w:t>
      </w:r>
    </w:p>
    <w:p w14:paraId="5C87A026" w14:textId="77777777" w:rsidR="006D2D35" w:rsidRPr="00EF0079" w:rsidRDefault="006D2D35" w:rsidP="005A4F82">
      <w:pPr>
        <w:pStyle w:val="NoSpacing"/>
        <w:spacing w:line="48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EF0079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Data collection</w:t>
      </w:r>
    </w:p>
    <w:p w14:paraId="59B06425" w14:textId="1F76E8E4" w:rsidR="006D2D35" w:rsidRPr="005A4F82" w:rsidRDefault="00ED7C80" w:rsidP="00EF0079">
      <w:pPr>
        <w:pStyle w:val="NoSpacing"/>
        <w:spacing w:line="480" w:lineRule="auto"/>
        <w:ind w:firstLine="567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following data were collected for each patient: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age, sex,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body mass index; </w:t>
      </w:r>
      <w:proofErr w:type="spellStart"/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Charlson</w:t>
      </w:r>
      <w:r w:rsidR="0045790E">
        <w:rPr>
          <w:rFonts w:ascii="Times New Roman" w:hAnsi="Times New Roman" w:cs="Times New Roman"/>
          <w:sz w:val="24"/>
          <w:szCs w:val="24"/>
          <w:lang w:val="en-US"/>
        </w:rPr>
        <w:t>’s</w:t>
      </w:r>
      <w:proofErr w:type="spellEnd"/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Comorbidity Index</w:t>
      </w:r>
      <w:r w:rsidR="000C32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[1]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date of SARS-CoV-2 symptom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onset; </w:t>
      </w:r>
      <w:proofErr w:type="spellStart"/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ventilatory</w:t>
      </w:r>
      <w:proofErr w:type="spellEnd"/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support on </w:t>
      </w:r>
      <w:r>
        <w:rPr>
          <w:rFonts w:ascii="Times New Roman" w:hAnsi="Times New Roman" w:cs="Times New Roman"/>
          <w:sz w:val="24"/>
          <w:szCs w:val="24"/>
          <w:lang w:val="en-US"/>
        </w:rPr>
        <w:t>the first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ICU </w:t>
      </w:r>
      <w:r>
        <w:rPr>
          <w:rFonts w:ascii="Times New Roman" w:hAnsi="Times New Roman" w:cs="Times New Roman"/>
          <w:sz w:val="24"/>
          <w:szCs w:val="24"/>
          <w:lang w:val="en-US"/>
        </w:rPr>
        <w:t>day;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date of MV </w:t>
      </w:r>
      <w:r>
        <w:rPr>
          <w:rFonts w:ascii="Times New Roman" w:hAnsi="Times New Roman" w:cs="Times New Roman"/>
          <w:sz w:val="24"/>
          <w:szCs w:val="24"/>
          <w:lang w:val="en-US"/>
        </w:rPr>
        <w:t>initiation; whether Berlin criteria for ARDS were met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r w:rsidRPr="005A4F82">
        <w:rPr>
          <w:rFonts w:ascii="Times New Roman" w:hAnsi="Times New Roman" w:cs="Times New Roman"/>
          <w:sz w:val="24"/>
          <w:szCs w:val="24"/>
          <w:lang w:val="en-US"/>
        </w:rPr>
        <w:t>[</w:t>
      </w:r>
      <w:bookmarkEnd w:id="0"/>
      <w:r w:rsidR="000C32C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]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E259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presence of coinfection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5A4F8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need </w:t>
      </w:r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veno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venous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extracorporeal membrane oxygenation and/or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vasopressor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therapy;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use of antiviral agents, immunomodulatory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drugs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and/or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initial antibiotics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and VAP </w:t>
      </w:r>
      <w:r>
        <w:rPr>
          <w:rFonts w:ascii="Times New Roman" w:hAnsi="Times New Roman" w:cs="Times New Roman"/>
          <w:sz w:val="24"/>
          <w:szCs w:val="24"/>
          <w:lang w:val="en-US"/>
        </w:rPr>
        <w:t>characteristics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of onset, sampling method,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causative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microorganisms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complication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) with follow-up until day 90 or death. T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he t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ype, dose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and duration of corticosteroid treatment were also recorded. Illness severity was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assessed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 xml:space="preserve">determining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the Simplified Acute Physiology S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ore (SAPS) </w:t>
      </w:r>
      <w:proofErr w:type="gramStart"/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II  score</w:t>
      </w:r>
      <w:proofErr w:type="gramEnd"/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0C32C4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] and organ failure by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 xml:space="preserve">determining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the Sequential Organ Failure Assessment (SOFA) [18]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24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ICU admission.</w:t>
      </w:r>
    </w:p>
    <w:p w14:paraId="5EFED0F5" w14:textId="7248B085" w:rsidR="006D2D35" w:rsidRPr="00EF0079" w:rsidRDefault="006D2D35" w:rsidP="005A4F82">
      <w:pPr>
        <w:pStyle w:val="NoSpacing"/>
        <w:spacing w:line="48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EF0079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Definition</w:t>
      </w:r>
      <w:r w:rsidR="0079412E" w:rsidRPr="00EF0079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s</w:t>
      </w:r>
    </w:p>
    <w:p w14:paraId="70A327F5" w14:textId="577C2197" w:rsidR="006D2D35" w:rsidRPr="005A4F82" w:rsidRDefault="0079412E" w:rsidP="005A4F82">
      <w:pPr>
        <w:pStyle w:val="NoSpacing"/>
        <w:spacing w:line="48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defined early corticosteroid treatment as the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administration of systemic corticosteroids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before or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within </w:t>
      </w:r>
      <w:r>
        <w:rPr>
          <w:rFonts w:ascii="Times New Roman" w:hAnsi="Times New Roman" w:cs="Times New Roman"/>
          <w:sz w:val="24"/>
          <w:szCs w:val="24"/>
          <w:lang w:val="en-US"/>
        </w:rPr>
        <w:t>24 h after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>ICU</w:t>
      </w:r>
      <w:r w:rsidRPr="00794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admission</w:t>
      </w:r>
      <w:r w:rsidR="006D2D35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E40E3DB" w14:textId="36A8A223" w:rsidR="006D2D35" w:rsidRPr="005A4F82" w:rsidRDefault="006D2D35" w:rsidP="005A4F82">
      <w:pPr>
        <w:pStyle w:val="NoSpacing"/>
        <w:spacing w:line="48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5A4F82">
        <w:rPr>
          <w:rFonts w:ascii="Times New Roman" w:hAnsi="Times New Roman" w:cs="Times New Roman"/>
          <w:sz w:val="24"/>
          <w:szCs w:val="24"/>
          <w:lang w:val="en-US"/>
        </w:rPr>
        <w:t>Patient</w:t>
      </w:r>
      <w:r w:rsidR="00E2595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were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classified as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immunocompromised if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 xml:space="preserve">they had any of the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following: 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chemotherapy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 xml:space="preserve">within the past 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3 months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 xml:space="preserve">to treat a solid malignancy,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progressive metastatic disease, hematologic malignanc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, solid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organ transplantation, HIV infection with or without AIDS, corticosteroid</w:t>
      </w:r>
      <w:r w:rsidR="0079412E" w:rsidRPr="00794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>treatment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 xml:space="preserve"> for longer than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3 months </w:t>
      </w:r>
      <w:r w:rsidR="00E2595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E2595B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a dosage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of at least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mg/kg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/day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prednisolone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equivalent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 xml:space="preserve">for longer than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7 days, </w:t>
      </w:r>
      <w:r w:rsidR="0045790E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5790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treatment with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other immunosuppressive drug [</w:t>
      </w:r>
      <w:r w:rsidR="000C32C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].</w:t>
      </w:r>
    </w:p>
    <w:p w14:paraId="666242F3" w14:textId="0E088326" w:rsidR="006D2D35" w:rsidRPr="005A4F82" w:rsidRDefault="006D2D35" w:rsidP="00EF0079">
      <w:pPr>
        <w:pStyle w:val="NoSpacing"/>
        <w:spacing w:line="480" w:lineRule="auto"/>
        <w:ind w:firstLine="567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The risk factors for 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>multidrug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>resistant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(MDR)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pathogens were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defined as antibio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 xml:space="preserve">tic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therapy</w:t>
      </w:r>
      <w:r w:rsidR="0045790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hospitalization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for longer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than 48 h within the last 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months, </w:t>
      </w:r>
      <w:r w:rsidR="0045790E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5790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known 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>MDR carri</w:t>
      </w:r>
      <w:r w:rsidR="0079412E">
        <w:rPr>
          <w:rFonts w:ascii="Times New Roman" w:hAnsi="Times New Roman" w:cs="Times New Roman"/>
          <w:sz w:val="24"/>
          <w:szCs w:val="24"/>
          <w:lang w:val="en-US"/>
        </w:rPr>
        <w:t>age</w:t>
      </w:r>
      <w:r w:rsidR="0079412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0C32C4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].</w:t>
      </w:r>
    </w:p>
    <w:p w14:paraId="62AF5CFC" w14:textId="19FE4910" w:rsidR="006D2D35" w:rsidRPr="00EF0079" w:rsidRDefault="0079412E" w:rsidP="005A4F82">
      <w:pPr>
        <w:pStyle w:val="NoSpacing"/>
        <w:spacing w:line="48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M</w:t>
      </w:r>
      <w:r w:rsidR="006D2D35" w:rsidRPr="00EF0079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anagement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of ventilator-a</w:t>
      </w:r>
      <w:r w:rsidR="00DA040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sociated pneumonia (VAP)</w:t>
      </w:r>
    </w:p>
    <w:p w14:paraId="09C1F962" w14:textId="12FBF987" w:rsidR="006D2D35" w:rsidRPr="005A4F82" w:rsidRDefault="006D2D35" w:rsidP="00EF0079">
      <w:pPr>
        <w:autoSpaceDE w:val="0"/>
        <w:autoSpaceDN w:val="0"/>
        <w:adjustRightInd w:val="0"/>
        <w:spacing w:after="0" w:line="480" w:lineRule="auto"/>
        <w:ind w:firstLine="567"/>
        <w:rPr>
          <w:lang w:val="en-US"/>
        </w:rPr>
      </w:pP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diagnosis of VAP was established by the team in charge of the patient</w:t>
      </w:r>
      <w:r w:rsidR="008D1BEE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D1BEE">
        <w:rPr>
          <w:rFonts w:ascii="Times New Roman" w:hAnsi="Times New Roman" w:cs="Times New Roman"/>
          <w:color w:val="000000"/>
          <w:sz w:val="24"/>
          <w:szCs w:val="24"/>
          <w:lang w:val="en-US"/>
        </w:rPr>
        <w:t>VAP was defined as</w:t>
      </w:r>
      <w:r w:rsidR="008D1BEE"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hospital-acquired pneumonia diagnosed after at least 48 h of </w:t>
      </w:r>
      <w:r w:rsidR="008D1BE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MV. In extubated patients, hospital-acquired pneumonia was categorized as VAP if onset occurred within 48 h after </w:t>
      </w:r>
      <w:proofErr w:type="spellStart"/>
      <w:r w:rsidR="008D1BEE">
        <w:rPr>
          <w:rFonts w:ascii="Times New Roman" w:hAnsi="Times New Roman" w:cs="Times New Roman"/>
          <w:color w:val="000000"/>
          <w:sz w:val="24"/>
          <w:szCs w:val="24"/>
          <w:lang w:val="en-US"/>
        </w:rPr>
        <w:t>extubation</w:t>
      </w:r>
      <w:proofErr w:type="spellEnd"/>
      <w:r w:rsidR="008D1BEE">
        <w:rPr>
          <w:rFonts w:ascii="Times New Roman" w:hAnsi="Times New Roman" w:cs="Times New Roman"/>
          <w:color w:val="000000"/>
          <w:sz w:val="24"/>
          <w:szCs w:val="24"/>
          <w:lang w:val="en-US"/>
        </w:rPr>
        <w:t>. The diagnostic criteria were those recommended by the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European Centre for Disease Prevention and Control</w:t>
      </w:r>
      <w:r w:rsidR="00D926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(ECDC)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D1BEE" w:rsidRPr="005A4F82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0C32C4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8D1BEE" w:rsidRPr="005A4F8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8D1BE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i.e., </w:t>
      </w:r>
      <w:r w:rsidR="008D1BE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wo </w:t>
      </w:r>
      <w:r w:rsidR="008D1BEE">
        <w:rPr>
          <w:rFonts w:ascii="Times New Roman" w:hAnsi="Times New Roman" w:cs="Times New Roman"/>
          <w:sz w:val="24"/>
          <w:szCs w:val="24"/>
          <w:lang w:val="en-US"/>
        </w:rPr>
        <w:t>consecutive</w:t>
      </w:r>
      <w:r w:rsidR="008D1BE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chest radiographs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8D1BEE">
        <w:rPr>
          <w:rFonts w:ascii="Times New Roman" w:hAnsi="Times New Roman" w:cs="Times New Roman"/>
          <w:sz w:val="24"/>
          <w:szCs w:val="24"/>
          <w:lang w:val="en-US"/>
        </w:rPr>
        <w:t>computed tomography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scans showing new or progressive lung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infiltrates</w:t>
      </w:r>
      <w:r w:rsidR="008D1BEE">
        <w:rPr>
          <w:rFonts w:ascii="Times New Roman" w:hAnsi="Times New Roman" w:cs="Times New Roman"/>
          <w:sz w:val="24"/>
          <w:szCs w:val="24"/>
          <w:lang w:val="en-US"/>
        </w:rPr>
        <w:t xml:space="preserve"> combined with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2606">
        <w:rPr>
          <w:rFonts w:ascii="Times New Roman" w:hAnsi="Times New Roman" w:cs="Times New Roman"/>
          <w:sz w:val="24"/>
          <w:szCs w:val="24"/>
          <w:lang w:val="en-US"/>
        </w:rPr>
        <w:t>one or more systemic signs (</w:t>
      </w:r>
      <w:r w:rsidR="008D1BE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ody temperature &gt;38.3 °C </w:t>
      </w:r>
      <w:r w:rsidR="00D92606">
        <w:rPr>
          <w:rFonts w:ascii="Times New Roman" w:hAnsi="Times New Roman" w:cs="Times New Roman"/>
          <w:sz w:val="24"/>
          <w:szCs w:val="24"/>
          <w:lang w:val="en-US"/>
        </w:rPr>
        <w:t>not due to another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cause</w:t>
      </w:r>
      <w:r w:rsidR="00D92606">
        <w:rPr>
          <w:rFonts w:ascii="Times New Roman" w:hAnsi="Times New Roman" w:cs="Times New Roman"/>
          <w:sz w:val="24"/>
          <w:szCs w:val="24"/>
          <w:lang w:val="en-US"/>
        </w:rPr>
        <w:t xml:space="preserve"> and/or</w:t>
      </w:r>
      <w:r w:rsidR="008D1BEE">
        <w:rPr>
          <w:rFonts w:ascii="Times New Roman" w:hAnsi="Times New Roman" w:cs="Times New Roman"/>
          <w:sz w:val="24"/>
          <w:szCs w:val="24"/>
          <w:lang w:val="en-US"/>
        </w:rPr>
        <w:t xml:space="preserve"> l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eukocyte</w:t>
      </w:r>
      <w:r w:rsidR="008D1B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1BEE">
        <w:rPr>
          <w:rFonts w:ascii="Times New Roman" w:hAnsi="Times New Roman" w:cs="Times New Roman"/>
          <w:sz w:val="24"/>
          <w:szCs w:val="24"/>
          <w:lang w:val="en-US"/>
        </w:rPr>
        <w:lastRenderedPageBreak/>
        <w:t>count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&lt;4000/mm</w:t>
      </w:r>
      <w:r w:rsidRPr="00EF007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or &gt;12</w:t>
      </w:r>
      <w:r w:rsidR="0045790E"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000/mm</w:t>
      </w:r>
      <w:r w:rsidRPr="00EF007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D92606">
        <w:rPr>
          <w:rFonts w:ascii="Times New Roman" w:hAnsi="Times New Roman" w:cs="Times New Roman"/>
          <w:sz w:val="24"/>
          <w:szCs w:val="24"/>
          <w:lang w:val="en-US"/>
        </w:rPr>
        <w:t>), one or more respiratory signs (n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ew onset of purulent sputum or change in character of sputum </w:t>
      </w:r>
      <w:r w:rsidR="00DF6821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color, odor, quantity, consistency</w:t>
      </w:r>
      <w:r w:rsidR="00DF6821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D92606">
        <w:rPr>
          <w:rFonts w:ascii="Times New Roman" w:hAnsi="Times New Roman" w:cs="Times New Roman"/>
          <w:sz w:val="24"/>
          <w:szCs w:val="24"/>
          <w:lang w:val="en-US"/>
        </w:rPr>
        <w:t>and/or w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orsening gas exchange </w:t>
      </w:r>
      <w:r w:rsidR="00DF6821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45790E">
        <w:rPr>
          <w:rFonts w:ascii="Times New Roman" w:hAnsi="Times New Roman" w:cs="Times New Roman"/>
          <w:sz w:val="24"/>
          <w:szCs w:val="24"/>
          <w:lang w:val="en-US"/>
        </w:rPr>
        <w:t>blood oxygen</w:t>
      </w:r>
      <w:r w:rsidR="0045790E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desaturation or increased oxygen requirements or increased ventilation </w:t>
      </w:r>
      <w:r w:rsidR="00D92606">
        <w:rPr>
          <w:rFonts w:ascii="Times New Roman" w:hAnsi="Times New Roman" w:cs="Times New Roman"/>
          <w:sz w:val="24"/>
          <w:szCs w:val="24"/>
          <w:lang w:val="en-US"/>
        </w:rPr>
        <w:t>requirements</w:t>
      </w:r>
      <w:r w:rsidR="00DF6821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D92606">
        <w:rPr>
          <w:rFonts w:ascii="Times New Roman" w:hAnsi="Times New Roman" w:cs="Times New Roman"/>
          <w:sz w:val="24"/>
          <w:szCs w:val="24"/>
          <w:lang w:val="en-US"/>
        </w:rPr>
        <w:t>); and one or more microbiological signs (p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ositive quantitative culture from </w:t>
      </w:r>
      <w:r w:rsidR="00D926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minimally contaminated </w:t>
      </w:r>
      <w:r w:rsidR="00D926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lower respiratory tract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specimen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[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PN 1 type in </w:t>
      </w:r>
      <w:r w:rsidR="00D926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ECDC classification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]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obtained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using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plugged telescopic catheter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with a threshold of 10</w:t>
      </w:r>
      <w:r w:rsidRPr="005A4F82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3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colony-forming units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/mL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or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from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proofErr w:type="spellStart"/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bronchoalveolar</w:t>
      </w:r>
      <w:proofErr w:type="spellEnd"/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lavage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specimen,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with a threshold of 10</w:t>
      </w:r>
      <w:r w:rsidRPr="005A4F82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4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colony-forming units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/</w:t>
      </w:r>
      <w:r w:rsidR="00206154"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m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L; or from a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possibly contaminated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lower respiratory tract specimen</w:t>
      </w:r>
      <w:r w:rsidR="00206154"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[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PN 2 type in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ECDC classification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]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consisting in a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blind endotracheal aspirate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with a threshold of 10</w:t>
      </w:r>
      <w:r w:rsidRPr="005A4F82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6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colony-forming units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/m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>L; or positive culture of a pleural fluid specimen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(PN 3 type in </w:t>
      </w:r>
      <w:r w:rsidR="002061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Pr="005A4F82">
        <w:rPr>
          <w:rFonts w:ascii="Times New Roman" w:hAnsi="Times New Roman" w:cs="Times New Roman"/>
          <w:color w:val="000000"/>
          <w:sz w:val="24"/>
          <w:szCs w:val="24"/>
          <w:lang w:val="en-US"/>
        </w:rPr>
        <w:t>ECDC classification)</w:t>
      </w:r>
      <w:r w:rsidR="0045790E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7188EB8E" w14:textId="226017A3" w:rsidR="006D2D35" w:rsidRPr="005A4F82" w:rsidRDefault="006D2D35" w:rsidP="005A4F82">
      <w:pPr>
        <w:pStyle w:val="NoSpacing"/>
        <w:spacing w:line="48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Local protocols to 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minimize the</w:t>
      </w:r>
      <w:r w:rsidR="004B33BF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incidence of VAP included oral instead o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nasal intubation 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when possible, head-of-bed elevation to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30°–45</w:t>
      </w:r>
      <w:r w:rsidR="004B33BF" w:rsidRPr="005A4F82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, periodic</w:t>
      </w:r>
      <w:r w:rsidR="004B33BF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suctioning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system drain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age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 xml:space="preserve">discarding of the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condensate in 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tubing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, use of</w:t>
      </w:r>
      <w:r w:rsidR="004B33BF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a new ventilator circuit for each patient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, circuit</w:t>
      </w:r>
      <w:r w:rsidR="004B33BF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change 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only</w:t>
      </w:r>
      <w:r w:rsidR="004B33BF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if soil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or damage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 xml:space="preserve"> occurs (not routinely), heat-moisture exchanger replacement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every 5–7 days or </w:t>
      </w:r>
      <w:r w:rsidR="00DF6821">
        <w:rPr>
          <w:rFonts w:ascii="Times New Roman" w:hAnsi="Times New Roman" w:cs="Times New Roman"/>
          <w:sz w:val="24"/>
          <w:szCs w:val="24"/>
          <w:lang w:val="en-US"/>
        </w:rPr>
        <w:t>in the event of</w:t>
      </w:r>
      <w:r w:rsidR="00DF6821"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>soil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or malfunction,</w:t>
      </w:r>
      <w:r w:rsidR="004B33BF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5A4F82">
        <w:rPr>
          <w:rFonts w:ascii="Times New Roman" w:hAnsi="Times New Roman" w:cs="Times New Roman"/>
          <w:sz w:val="24"/>
          <w:szCs w:val="24"/>
          <w:lang w:val="en-US"/>
        </w:rPr>
        <w:t xml:space="preserve"> daily oral hygiene [22].</w:t>
      </w:r>
    </w:p>
    <w:p w14:paraId="2CC1A750" w14:textId="77777777" w:rsidR="006D2D35" w:rsidRPr="005A4F82" w:rsidRDefault="006D2D35" w:rsidP="006D2D35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2CF804FE" w14:textId="77777777" w:rsidR="006D2D35" w:rsidRPr="005A4F82" w:rsidRDefault="006D2D35" w:rsidP="00CB4B35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6D945764" w14:textId="77777777" w:rsidR="006D2D35" w:rsidRPr="005A4F82" w:rsidRDefault="006D2D35" w:rsidP="00CB4B35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DB3A3C8" w14:textId="77777777" w:rsidR="004B33BF" w:rsidRDefault="004B33BF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br w:type="page"/>
      </w:r>
    </w:p>
    <w:p w14:paraId="08E57E02" w14:textId="5C52BD3A" w:rsidR="00CB4B35" w:rsidRPr="00EF0079" w:rsidRDefault="007D416A" w:rsidP="00EF007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eFigure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 w:rsidR="00CB4B35" w:rsidRPr="00EF00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4B33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Microorganisms recovered in patients with ventilator-associated pneumonia who were vs. </w:t>
      </w:r>
      <w:proofErr w:type="spellStart"/>
      <w:r w:rsidR="004B33BF">
        <w:rPr>
          <w:rFonts w:ascii="Times New Roman" w:hAnsi="Times New Roman" w:cs="Times New Roman"/>
          <w:b/>
          <w:sz w:val="24"/>
          <w:szCs w:val="24"/>
          <w:lang w:val="en-US"/>
        </w:rPr>
        <w:t>were</w:t>
      </w:r>
      <w:proofErr w:type="spellEnd"/>
      <w:r w:rsidR="004B33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given early corticosteroid treatment</w:t>
      </w:r>
    </w:p>
    <w:p w14:paraId="671FBA10" w14:textId="77777777" w:rsidR="00CB4B35" w:rsidRPr="005A4F82" w:rsidRDefault="00CB4B35" w:rsidP="00CB4B3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8CF0635" w14:textId="7D278051" w:rsidR="00771EDD" w:rsidRDefault="001A6827" w:rsidP="00CB4B35">
      <w:pPr>
        <w:jc w:val="both"/>
        <w:rPr>
          <w:rFonts w:ascii="Times New Roman" w:hAnsi="Times New Roman" w:cs="Times New Roman"/>
          <w:sz w:val="20"/>
          <w:szCs w:val="20"/>
          <w:highlight w:val="lightGray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0E63F182" wp14:editId="7CA78560">
            <wp:extent cx="4476750" cy="3352800"/>
            <wp:effectExtent l="0" t="0" r="0" b="0"/>
            <wp:docPr id="3" name="Graphique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D000CDB" w14:textId="77777777" w:rsidR="00771EDD" w:rsidRDefault="00771EDD" w:rsidP="00CB4B35">
      <w:pPr>
        <w:jc w:val="both"/>
        <w:rPr>
          <w:rFonts w:ascii="Times New Roman" w:hAnsi="Times New Roman" w:cs="Times New Roman"/>
          <w:sz w:val="20"/>
          <w:szCs w:val="20"/>
          <w:highlight w:val="lightGray"/>
          <w:lang w:val="en-US"/>
        </w:rPr>
      </w:pPr>
    </w:p>
    <w:p w14:paraId="5F588D6A" w14:textId="798E0719" w:rsidR="00CB4B35" w:rsidRPr="005A4F82" w:rsidRDefault="001A6827" w:rsidP="00CB4B3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02188F39" wp14:editId="1EB12EDF">
            <wp:extent cx="4476750" cy="3838575"/>
            <wp:effectExtent l="0" t="0" r="0" b="9525"/>
            <wp:docPr id="5" name="Graphique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138CB7C" w14:textId="0878F840" w:rsidR="004B33BF" w:rsidRPr="007434CC" w:rsidRDefault="00CB4B35" w:rsidP="004B33B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EF007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eTable</w:t>
      </w:r>
      <w:proofErr w:type="spellEnd"/>
      <w:proofErr w:type="gramEnd"/>
      <w:r w:rsidR="004B33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F0079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EF0079">
        <w:rPr>
          <w:rFonts w:ascii="Times New Roman" w:hAnsi="Times New Roman" w:cs="Times New Roman"/>
          <w:b/>
          <w:bCs/>
          <w:sz w:val="24"/>
          <w:szCs w:val="24"/>
          <w:lang w:val="en-US"/>
        </w:rPr>
        <w:t>: Bloodstream infection characteristic</w:t>
      </w:r>
      <w:r w:rsidR="004B33BF" w:rsidRPr="00EF0079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EF007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B33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patients who were vs. </w:t>
      </w:r>
      <w:proofErr w:type="spellStart"/>
      <w:r w:rsidR="004B33BF">
        <w:rPr>
          <w:rFonts w:ascii="Times New Roman" w:hAnsi="Times New Roman" w:cs="Times New Roman"/>
          <w:b/>
          <w:sz w:val="24"/>
          <w:szCs w:val="24"/>
          <w:lang w:val="en-US"/>
        </w:rPr>
        <w:t>were</w:t>
      </w:r>
      <w:proofErr w:type="spellEnd"/>
      <w:r w:rsidR="004B33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given early corticosteroid treatment</w:t>
      </w:r>
    </w:p>
    <w:p w14:paraId="5E309F2B" w14:textId="4BC80C8D" w:rsidR="00CB4B35" w:rsidRPr="00EF0079" w:rsidRDefault="00CB4B35" w:rsidP="00CB4B3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45"/>
        <w:gridCol w:w="1131"/>
        <w:gridCol w:w="1414"/>
        <w:gridCol w:w="1460"/>
        <w:gridCol w:w="1410"/>
      </w:tblGrid>
      <w:tr w:rsidR="00CB4B35" w:rsidRPr="005A4F82" w14:paraId="6A0D66BE" w14:textId="77777777" w:rsidTr="00EF0079">
        <w:tc>
          <w:tcPr>
            <w:tcW w:w="3645" w:type="dxa"/>
          </w:tcPr>
          <w:p w14:paraId="0A571F8C" w14:textId="77777777" w:rsidR="00CB4B35" w:rsidRPr="005A4F82" w:rsidRDefault="00CB4B35" w:rsidP="00CB4B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1" w:type="dxa"/>
          </w:tcPr>
          <w:p w14:paraId="4B61F90D" w14:textId="77777777" w:rsidR="00CB4B35" w:rsidRPr="005A4F82" w:rsidRDefault="00CB4B35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</w:t>
            </w:r>
          </w:p>
          <w:p w14:paraId="089C5499" w14:textId="77777777" w:rsidR="001C52C7" w:rsidRPr="005A4F82" w:rsidRDefault="001C52C7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(N=670)</w:t>
            </w:r>
          </w:p>
        </w:tc>
        <w:tc>
          <w:tcPr>
            <w:tcW w:w="1414" w:type="dxa"/>
          </w:tcPr>
          <w:p w14:paraId="70662222" w14:textId="54964CF2" w:rsidR="00CB4B35" w:rsidRPr="00EF0079" w:rsidRDefault="00CB4B35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Early </w:t>
            </w:r>
            <w:proofErr w:type="spellStart"/>
            <w:r w:rsidR="00042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</w:t>
            </w:r>
            <w:r w:rsidR="00346B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14:paraId="1938672B" w14:textId="77777777" w:rsidR="001C52C7" w:rsidRPr="005A4F82" w:rsidRDefault="001C52C7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(N=369)</w:t>
            </w:r>
          </w:p>
        </w:tc>
        <w:tc>
          <w:tcPr>
            <w:tcW w:w="1460" w:type="dxa"/>
          </w:tcPr>
          <w:p w14:paraId="23DA96FE" w14:textId="2512C3F2" w:rsidR="00CB4B35" w:rsidRPr="00EF0079" w:rsidRDefault="0004253B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early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</w:t>
            </w:r>
            <w:r w:rsidR="00346B7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14:paraId="13DF54DC" w14:textId="77777777" w:rsidR="001C52C7" w:rsidRPr="005A4F82" w:rsidRDefault="001C52C7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(N=301)</w:t>
            </w:r>
          </w:p>
        </w:tc>
        <w:tc>
          <w:tcPr>
            <w:tcW w:w="1410" w:type="dxa"/>
          </w:tcPr>
          <w:p w14:paraId="79C73371" w14:textId="5BF3E132" w:rsidR="00CB4B35" w:rsidRPr="005A4F82" w:rsidRDefault="0004253B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 </w:t>
            </w:r>
            <w:r w:rsidR="00CB4B35"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value</w:t>
            </w:r>
          </w:p>
        </w:tc>
      </w:tr>
      <w:tr w:rsidR="00CB4B35" w:rsidRPr="005A4F82" w14:paraId="2D36049F" w14:textId="77777777" w:rsidTr="00EF0079">
        <w:tc>
          <w:tcPr>
            <w:tcW w:w="3645" w:type="dxa"/>
          </w:tcPr>
          <w:p w14:paraId="1F2B680F" w14:textId="77777777" w:rsidR="00CB4B35" w:rsidRPr="0004253B" w:rsidRDefault="00CB4B35" w:rsidP="00CB4B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Bloodstream infection, </w:t>
            </w:r>
            <w:r w:rsidRPr="00EF00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131" w:type="dxa"/>
          </w:tcPr>
          <w:p w14:paraId="5F43C38A" w14:textId="77777777" w:rsidR="00CB4B35" w:rsidRPr="005A4F82" w:rsidRDefault="00CB4B35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113 (16.0)</w:t>
            </w:r>
          </w:p>
        </w:tc>
        <w:tc>
          <w:tcPr>
            <w:tcW w:w="1414" w:type="dxa"/>
          </w:tcPr>
          <w:p w14:paraId="45B178E6" w14:textId="77777777" w:rsidR="00CB4B35" w:rsidRPr="005A4F82" w:rsidRDefault="00CB4B35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 (18.7)</w:t>
            </w:r>
          </w:p>
        </w:tc>
        <w:tc>
          <w:tcPr>
            <w:tcW w:w="1460" w:type="dxa"/>
          </w:tcPr>
          <w:p w14:paraId="4477DB62" w14:textId="77777777" w:rsidR="00CB4B35" w:rsidRPr="005A4F82" w:rsidRDefault="00CB4B35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 (12.7)</w:t>
            </w:r>
          </w:p>
        </w:tc>
        <w:tc>
          <w:tcPr>
            <w:tcW w:w="1410" w:type="dxa"/>
          </w:tcPr>
          <w:p w14:paraId="4528118C" w14:textId="77777777" w:rsidR="00CB4B35" w:rsidRPr="005A4F82" w:rsidRDefault="00CB4B35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0.0303</w:t>
            </w:r>
          </w:p>
        </w:tc>
      </w:tr>
      <w:tr w:rsidR="00CB4B35" w:rsidRPr="005A4F82" w14:paraId="3DA2E8C0" w14:textId="77777777" w:rsidTr="00EF0079">
        <w:tc>
          <w:tcPr>
            <w:tcW w:w="3645" w:type="dxa"/>
          </w:tcPr>
          <w:p w14:paraId="0C5C1CA9" w14:textId="355F82A1" w:rsidR="00CB4B35" w:rsidRPr="0004253B" w:rsidRDefault="00CB4B35" w:rsidP="00CB4B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Pulmonary bacteremia</w:t>
            </w:r>
            <w:r w:rsidR="0004253B" w:rsidRPr="00042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source</w:t>
            </w:r>
            <w:r w:rsidRPr="00042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EF00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131" w:type="dxa"/>
          </w:tcPr>
          <w:p w14:paraId="44C42B27" w14:textId="77777777" w:rsidR="00CB4B35" w:rsidRPr="005A4F82" w:rsidRDefault="00CB4B35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 (5.0)</w:t>
            </w:r>
          </w:p>
        </w:tc>
        <w:tc>
          <w:tcPr>
            <w:tcW w:w="1414" w:type="dxa"/>
          </w:tcPr>
          <w:p w14:paraId="34B85401" w14:textId="77777777" w:rsidR="00CB4B35" w:rsidRPr="005A4F82" w:rsidRDefault="00CB4B35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(6.0)</w:t>
            </w:r>
          </w:p>
        </w:tc>
        <w:tc>
          <w:tcPr>
            <w:tcW w:w="1460" w:type="dxa"/>
          </w:tcPr>
          <w:p w14:paraId="1E7B863A" w14:textId="77777777" w:rsidR="00CB4B35" w:rsidRPr="005A4F82" w:rsidRDefault="00CB4B35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(3.8)</w:t>
            </w:r>
          </w:p>
        </w:tc>
        <w:tc>
          <w:tcPr>
            <w:tcW w:w="1410" w:type="dxa"/>
          </w:tcPr>
          <w:p w14:paraId="03D92D13" w14:textId="77777777" w:rsidR="00CB4B35" w:rsidRPr="005A4F82" w:rsidRDefault="00CB4B35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0.1891</w:t>
            </w:r>
          </w:p>
        </w:tc>
      </w:tr>
      <w:tr w:rsidR="008F372C" w:rsidRPr="005A4F82" w14:paraId="68D2E01D" w14:textId="77777777" w:rsidTr="00EF0079">
        <w:tc>
          <w:tcPr>
            <w:tcW w:w="9060" w:type="dxa"/>
            <w:gridSpan w:val="5"/>
          </w:tcPr>
          <w:p w14:paraId="2DC7E618" w14:textId="77777777" w:rsidR="008F372C" w:rsidRPr="005A4F82" w:rsidRDefault="008F372C" w:rsidP="008F372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Bacterial antibiotic resistance profile</w:t>
            </w:r>
          </w:p>
        </w:tc>
      </w:tr>
      <w:tr w:rsidR="008F372C" w:rsidRPr="005A4F82" w14:paraId="69144354" w14:textId="77777777" w:rsidTr="00EF0079">
        <w:tc>
          <w:tcPr>
            <w:tcW w:w="3645" w:type="dxa"/>
          </w:tcPr>
          <w:p w14:paraId="7CEC979E" w14:textId="77777777" w:rsidR="008F372C" w:rsidRPr="005A4F82" w:rsidRDefault="008F372C" w:rsidP="00CB4B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Normal, n (%)</w:t>
            </w:r>
          </w:p>
        </w:tc>
        <w:tc>
          <w:tcPr>
            <w:tcW w:w="1131" w:type="dxa"/>
          </w:tcPr>
          <w:p w14:paraId="1B81757F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 (61.3)</w:t>
            </w:r>
          </w:p>
        </w:tc>
        <w:tc>
          <w:tcPr>
            <w:tcW w:w="1414" w:type="dxa"/>
          </w:tcPr>
          <w:p w14:paraId="50854E98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 (62.5)</w:t>
            </w:r>
          </w:p>
        </w:tc>
        <w:tc>
          <w:tcPr>
            <w:tcW w:w="1460" w:type="dxa"/>
          </w:tcPr>
          <w:p w14:paraId="252505AC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(59.0)</w:t>
            </w:r>
          </w:p>
        </w:tc>
        <w:tc>
          <w:tcPr>
            <w:tcW w:w="1410" w:type="dxa"/>
            <w:vMerge w:val="restart"/>
          </w:tcPr>
          <w:p w14:paraId="185752E8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0.0751</w:t>
            </w:r>
          </w:p>
        </w:tc>
      </w:tr>
      <w:tr w:rsidR="008F372C" w:rsidRPr="005A4F82" w14:paraId="3EB8D76F" w14:textId="77777777" w:rsidTr="00EF0079">
        <w:tc>
          <w:tcPr>
            <w:tcW w:w="3645" w:type="dxa"/>
          </w:tcPr>
          <w:p w14:paraId="4967DE6F" w14:textId="77777777" w:rsidR="008F372C" w:rsidRPr="005A4F82" w:rsidRDefault="008F372C" w:rsidP="00CB4B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MDR, n (%)</w:t>
            </w:r>
          </w:p>
        </w:tc>
        <w:tc>
          <w:tcPr>
            <w:tcW w:w="1131" w:type="dxa"/>
          </w:tcPr>
          <w:p w14:paraId="30CD17E6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 (36.0)</w:t>
            </w:r>
          </w:p>
        </w:tc>
        <w:tc>
          <w:tcPr>
            <w:tcW w:w="1414" w:type="dxa"/>
          </w:tcPr>
          <w:p w14:paraId="471AA8A6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 (37.5)</w:t>
            </w:r>
          </w:p>
        </w:tc>
        <w:tc>
          <w:tcPr>
            <w:tcW w:w="1460" w:type="dxa"/>
          </w:tcPr>
          <w:p w14:paraId="64C4B6D4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(33.3)</w:t>
            </w:r>
          </w:p>
        </w:tc>
        <w:tc>
          <w:tcPr>
            <w:tcW w:w="1410" w:type="dxa"/>
            <w:vMerge/>
          </w:tcPr>
          <w:p w14:paraId="69A6CAA4" w14:textId="77777777" w:rsidR="008F372C" w:rsidRPr="005A4F82" w:rsidRDefault="008F372C" w:rsidP="00CB4B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F372C" w:rsidRPr="005A4F82" w14:paraId="5AEFF41C" w14:textId="77777777" w:rsidTr="00EF0079">
        <w:tc>
          <w:tcPr>
            <w:tcW w:w="3645" w:type="dxa"/>
          </w:tcPr>
          <w:p w14:paraId="542D9FB4" w14:textId="77777777" w:rsidR="008F372C" w:rsidRPr="005A4F82" w:rsidRDefault="008F372C" w:rsidP="00CB4B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XDR, n (%)</w:t>
            </w:r>
          </w:p>
        </w:tc>
        <w:tc>
          <w:tcPr>
            <w:tcW w:w="1131" w:type="dxa"/>
          </w:tcPr>
          <w:p w14:paraId="7554A92F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(2.7)</w:t>
            </w:r>
          </w:p>
        </w:tc>
        <w:tc>
          <w:tcPr>
            <w:tcW w:w="1414" w:type="dxa"/>
          </w:tcPr>
          <w:p w14:paraId="4BEB6663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460" w:type="dxa"/>
          </w:tcPr>
          <w:p w14:paraId="20C3B69D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(7.69)</w:t>
            </w:r>
          </w:p>
        </w:tc>
        <w:tc>
          <w:tcPr>
            <w:tcW w:w="1410" w:type="dxa"/>
            <w:vMerge/>
          </w:tcPr>
          <w:p w14:paraId="0F4165ED" w14:textId="77777777" w:rsidR="008F372C" w:rsidRPr="005A4F82" w:rsidRDefault="008F372C" w:rsidP="00CB4B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F372C" w:rsidRPr="005A4F82" w14:paraId="7D12C662" w14:textId="77777777" w:rsidTr="00EF0079">
        <w:tc>
          <w:tcPr>
            <w:tcW w:w="3645" w:type="dxa"/>
          </w:tcPr>
          <w:p w14:paraId="4274CD28" w14:textId="77777777" w:rsidR="008F372C" w:rsidRPr="005A4F82" w:rsidRDefault="008F372C" w:rsidP="00CB4B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PDR, n (%)</w:t>
            </w:r>
          </w:p>
        </w:tc>
        <w:tc>
          <w:tcPr>
            <w:tcW w:w="1131" w:type="dxa"/>
          </w:tcPr>
          <w:p w14:paraId="15EF6275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414" w:type="dxa"/>
          </w:tcPr>
          <w:p w14:paraId="1BA0DDB3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460" w:type="dxa"/>
          </w:tcPr>
          <w:p w14:paraId="0565E28A" w14:textId="77777777" w:rsidR="008F372C" w:rsidRPr="005A4F82" w:rsidRDefault="008F372C" w:rsidP="008F37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F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410" w:type="dxa"/>
            <w:vMerge/>
          </w:tcPr>
          <w:p w14:paraId="30B078B0" w14:textId="77777777" w:rsidR="008F372C" w:rsidRPr="005A4F82" w:rsidRDefault="008F372C" w:rsidP="00CB4B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5451A49F" w14:textId="137981EC" w:rsidR="00CB4B35" w:rsidRDefault="00CB4B35" w:rsidP="00CB4B3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779FDB9" w14:textId="50467AA9" w:rsidR="0004253B" w:rsidRDefault="0004253B" w:rsidP="00CB4B3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5B0078A" w14:textId="26CFD454" w:rsidR="0004253B" w:rsidRPr="00EF0079" w:rsidRDefault="0004253B" w:rsidP="00EF007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079">
        <w:rPr>
          <w:rFonts w:ascii="Times New Roman" w:hAnsi="Times New Roman" w:cs="Times New Roman"/>
          <w:sz w:val="24"/>
          <w:szCs w:val="24"/>
          <w:lang w:val="en-US"/>
        </w:rPr>
        <w:t xml:space="preserve">CS: corticosteroid therapy; MDR: multidrug resistant; XDR: extensively drug resistant; PDR: </w:t>
      </w:r>
      <w:proofErr w:type="spellStart"/>
      <w:r w:rsidRPr="00EF0079">
        <w:rPr>
          <w:rFonts w:ascii="Times New Roman" w:hAnsi="Times New Roman" w:cs="Times New Roman"/>
          <w:sz w:val="24"/>
          <w:szCs w:val="24"/>
          <w:lang w:val="en-US"/>
        </w:rPr>
        <w:t>pandrug</w:t>
      </w:r>
      <w:proofErr w:type="spellEnd"/>
      <w:r w:rsidRPr="00EF0079">
        <w:rPr>
          <w:rFonts w:ascii="Times New Roman" w:hAnsi="Times New Roman" w:cs="Times New Roman"/>
          <w:sz w:val="24"/>
          <w:szCs w:val="24"/>
          <w:lang w:val="en-US"/>
        </w:rPr>
        <w:t xml:space="preserve"> resistant</w:t>
      </w:r>
    </w:p>
    <w:p w14:paraId="4D1DE5B7" w14:textId="77777777" w:rsidR="0004253B" w:rsidRPr="00EF0079" w:rsidRDefault="0004253B" w:rsidP="00EF007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ADC8A40" w14:textId="6D323C99" w:rsidR="000C32C4" w:rsidRDefault="0004253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EF007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EF0079">
        <w:rPr>
          <w:rFonts w:ascii="Times New Roman" w:hAnsi="Times New Roman" w:cs="Times New Roman"/>
          <w:sz w:val="24"/>
          <w:szCs w:val="24"/>
          <w:lang w:val="en-US"/>
        </w:rPr>
        <w:t>Early</w:t>
      </w:r>
      <w:proofErr w:type="spellEnd"/>
      <w:proofErr w:type="gramEnd"/>
      <w:r w:rsidRPr="00EF0079">
        <w:rPr>
          <w:rFonts w:ascii="Times New Roman" w:hAnsi="Times New Roman" w:cs="Times New Roman"/>
          <w:sz w:val="24"/>
          <w:szCs w:val="24"/>
          <w:lang w:val="en-US"/>
        </w:rPr>
        <w:t xml:space="preserve"> CS was defined as the administration of systemic corticosteroid therapy before ICU admission or within 24 hours after ICU admission.</w:t>
      </w:r>
    </w:p>
    <w:p w14:paraId="3B4BB451" w14:textId="62514F48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5B5E69" w14:textId="2041D982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421144" w14:textId="169D2AA8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7A376A" w14:textId="39ACA2D1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EEF0671" w14:textId="22D6E0B7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7780C8" w14:textId="0B944A42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2F17209" w14:textId="13B0959E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6899C6" w14:textId="5FE036CA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7A2D8F2" w14:textId="7D699586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69A3F2C" w14:textId="767660CF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6CDFA2" w14:textId="09CC1C34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629BE7" w14:textId="4003E2C8" w:rsidR="007D416A" w:rsidRDefault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26AD0F9" w14:textId="3084C113" w:rsidR="007D416A" w:rsidRDefault="007D416A" w:rsidP="007D416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7D416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eFigure</w:t>
      </w:r>
      <w:proofErr w:type="spellEnd"/>
      <w:proofErr w:type="gramEnd"/>
      <w:r w:rsidRPr="007D41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2. Survival probability in patients who were vs. </w:t>
      </w:r>
      <w:proofErr w:type="spellStart"/>
      <w:r w:rsidRPr="007D416A">
        <w:rPr>
          <w:rFonts w:ascii="Times New Roman" w:hAnsi="Times New Roman" w:cs="Times New Roman"/>
          <w:b/>
          <w:sz w:val="24"/>
          <w:szCs w:val="24"/>
          <w:lang w:val="en-US"/>
        </w:rPr>
        <w:t>were</w:t>
      </w:r>
      <w:proofErr w:type="spellEnd"/>
      <w:r w:rsidRPr="007D41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given early corticosteroid treatment</w:t>
      </w:r>
    </w:p>
    <w:p w14:paraId="6FEFC94C" w14:textId="6C6A013B" w:rsidR="007D416A" w:rsidRPr="007434CC" w:rsidRDefault="007D416A" w:rsidP="007D416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sz w:val="24"/>
          <w:szCs w:val="24"/>
          <w:lang w:val="en-IN" w:eastAsia="en-IN"/>
        </w:rPr>
        <w:drawing>
          <wp:inline distT="0" distB="0" distL="0" distR="0" wp14:anchorId="39BE15B1" wp14:editId="6B2C2248">
            <wp:extent cx="5759450" cy="4319588"/>
            <wp:effectExtent l="0" t="0" r="0" b="508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2A9C9" w14:textId="1A486893" w:rsidR="007D416A" w:rsidRDefault="007D416A" w:rsidP="007D416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6E0A019" w14:textId="77777777" w:rsidR="007D416A" w:rsidRPr="007D416A" w:rsidRDefault="007D416A" w:rsidP="007D416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32852FF" w14:textId="3050377C" w:rsidR="007D416A" w:rsidRPr="007D416A" w:rsidRDefault="000C32C4" w:rsidP="007D416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B2D8F4D" w14:textId="4A13E812" w:rsidR="007D416A" w:rsidRPr="007D416A" w:rsidRDefault="007D416A" w:rsidP="000C32C4">
      <w:pPr>
        <w:pStyle w:val="Bibliography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D416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5DAD6685" w14:textId="0D04C606" w:rsidR="000C32C4" w:rsidRPr="00A0742A" w:rsidRDefault="000C32C4" w:rsidP="000C32C4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742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Brusselaers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N,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Lagergren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J. The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Charlson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Comorbidity Index in registry-based research. Methods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Inf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Med. 2017</w:t>
      </w:r>
      <w:proofErr w:type="gramStart"/>
      <w:r w:rsidRPr="00A0742A">
        <w:rPr>
          <w:rFonts w:ascii="Times New Roman" w:hAnsi="Times New Roman" w:cs="Times New Roman"/>
          <w:sz w:val="24"/>
          <w:szCs w:val="24"/>
        </w:rPr>
        <w:t>;56:401</w:t>
      </w:r>
      <w:proofErr w:type="gramEnd"/>
      <w:r w:rsidRPr="00A0742A">
        <w:rPr>
          <w:rFonts w:ascii="Times New Roman" w:hAnsi="Times New Roman" w:cs="Times New Roman"/>
          <w:sz w:val="24"/>
          <w:szCs w:val="24"/>
        </w:rPr>
        <w:t xml:space="preserve">–6. </w:t>
      </w:r>
    </w:p>
    <w:p w14:paraId="6042DD59" w14:textId="3D88F883" w:rsidR="000C32C4" w:rsidRPr="00A0742A" w:rsidRDefault="000C32C4" w:rsidP="000C32C4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A0742A">
        <w:rPr>
          <w:rFonts w:ascii="Times New Roman" w:hAnsi="Times New Roman" w:cs="Times New Roman"/>
          <w:sz w:val="24"/>
          <w:szCs w:val="24"/>
        </w:rPr>
        <w:t xml:space="preserve">. ARDS Definition Task Force,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Ranieri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VM,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Rubenfeld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GD, Thompson BT, Ferguson ND, Caldwell E, et al. Acute respiratory distress syndrome: the Berlin Definition. JAMA. 2012</w:t>
      </w:r>
      <w:proofErr w:type="gramStart"/>
      <w:r w:rsidRPr="00A0742A">
        <w:rPr>
          <w:rFonts w:ascii="Times New Roman" w:hAnsi="Times New Roman" w:cs="Times New Roman"/>
          <w:sz w:val="24"/>
          <w:szCs w:val="24"/>
        </w:rPr>
        <w:t>;307:2526</w:t>
      </w:r>
      <w:proofErr w:type="gramEnd"/>
      <w:r w:rsidRPr="00A0742A">
        <w:rPr>
          <w:rFonts w:ascii="Times New Roman" w:hAnsi="Times New Roman" w:cs="Times New Roman"/>
          <w:sz w:val="24"/>
          <w:szCs w:val="24"/>
        </w:rPr>
        <w:t xml:space="preserve">–33. </w:t>
      </w:r>
    </w:p>
    <w:p w14:paraId="003281CB" w14:textId="2CD144AC" w:rsidR="000C32C4" w:rsidRPr="00A0742A" w:rsidRDefault="000C32C4" w:rsidP="000C32C4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A0742A">
        <w:rPr>
          <w:rFonts w:ascii="Times New Roman" w:hAnsi="Times New Roman" w:cs="Times New Roman"/>
          <w:sz w:val="24"/>
          <w:szCs w:val="24"/>
        </w:rPr>
        <w:t xml:space="preserve">. Le Gall JR,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Lemeshow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Saulnier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F. A new Simplified Acute Physiology Score (SAPS II) based on a European/North American multicenter study. JAMA. 1993</w:t>
      </w:r>
      <w:proofErr w:type="gramStart"/>
      <w:r w:rsidRPr="00A0742A">
        <w:rPr>
          <w:rFonts w:ascii="Times New Roman" w:hAnsi="Times New Roman" w:cs="Times New Roman"/>
          <w:sz w:val="24"/>
          <w:szCs w:val="24"/>
        </w:rPr>
        <w:t>;270:2957</w:t>
      </w:r>
      <w:proofErr w:type="gramEnd"/>
      <w:r w:rsidRPr="00A0742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A0742A">
        <w:rPr>
          <w:rFonts w:ascii="Times New Roman" w:hAnsi="Times New Roman" w:cs="Times New Roman"/>
          <w:sz w:val="24"/>
          <w:szCs w:val="24"/>
        </w:rPr>
        <w:t xml:space="preserve">63. </w:t>
      </w:r>
    </w:p>
    <w:p w14:paraId="2CA9EFC9" w14:textId="37672C2C" w:rsidR="000C32C4" w:rsidRPr="00A0742A" w:rsidRDefault="000C32C4" w:rsidP="000C32C4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0742A">
        <w:rPr>
          <w:rFonts w:ascii="Times New Roman" w:hAnsi="Times New Roman" w:cs="Times New Roman"/>
          <w:sz w:val="24"/>
          <w:szCs w:val="24"/>
        </w:rPr>
        <w:t xml:space="preserve">. Vincent JL, Moreno R,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Takala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Willatts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S, De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Mendonça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Bruining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H, et al. The SOFA (Sepsis-related Organ Failure Assessment) score to describe organ dysfunction/failure. On behalf of the Working Group on Sepsis-Related Problems of the European Society of Intensive Care Medicine. Intensive Care Med. 1996</w:t>
      </w:r>
      <w:proofErr w:type="gramStart"/>
      <w:r w:rsidRPr="00A0742A">
        <w:rPr>
          <w:rFonts w:ascii="Times New Roman" w:hAnsi="Times New Roman" w:cs="Times New Roman"/>
          <w:sz w:val="24"/>
          <w:szCs w:val="24"/>
        </w:rPr>
        <w:t>;22:707</w:t>
      </w:r>
      <w:proofErr w:type="gramEnd"/>
      <w:r w:rsidRPr="00A0742A">
        <w:rPr>
          <w:rFonts w:ascii="Times New Roman" w:hAnsi="Times New Roman" w:cs="Times New Roman"/>
          <w:sz w:val="24"/>
          <w:szCs w:val="24"/>
        </w:rPr>
        <w:t xml:space="preserve">–10. </w:t>
      </w:r>
    </w:p>
    <w:p w14:paraId="0E60BDDA" w14:textId="7E125E34" w:rsidR="000C32C4" w:rsidRPr="00A0742A" w:rsidRDefault="000C32C4" w:rsidP="000C32C4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074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Azoulay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Lemiale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V,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Mokart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Nseir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Argaud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proofErr w:type="gramStart"/>
      <w:r w:rsidRPr="00A0742A">
        <w:rPr>
          <w:rFonts w:ascii="Times New Roman" w:hAnsi="Times New Roman" w:cs="Times New Roman"/>
          <w:sz w:val="24"/>
          <w:szCs w:val="24"/>
        </w:rPr>
        <w:t>Pène</w:t>
      </w:r>
      <w:proofErr w:type="spellEnd"/>
      <w:proofErr w:type="gramEnd"/>
      <w:r w:rsidRPr="00A0742A">
        <w:rPr>
          <w:rFonts w:ascii="Times New Roman" w:hAnsi="Times New Roman" w:cs="Times New Roman"/>
          <w:sz w:val="24"/>
          <w:szCs w:val="24"/>
        </w:rPr>
        <w:t xml:space="preserve"> F, et al. Effect of high-flow nasal oxygen vs standard oxygen on 28-day mortality in immunocompromised patients with acute respiratory failure: The HIGH randomized clinical trial. JAMA. 2018</w:t>
      </w:r>
      <w:proofErr w:type="gramStart"/>
      <w:r w:rsidRPr="00A0742A">
        <w:rPr>
          <w:rFonts w:ascii="Times New Roman" w:hAnsi="Times New Roman" w:cs="Times New Roman"/>
          <w:sz w:val="24"/>
          <w:szCs w:val="24"/>
        </w:rPr>
        <w:t>;320:2099</w:t>
      </w:r>
      <w:proofErr w:type="gramEnd"/>
      <w:r w:rsidRPr="00A0742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0742A">
        <w:rPr>
          <w:rFonts w:ascii="Times New Roman" w:hAnsi="Times New Roman" w:cs="Times New Roman"/>
          <w:sz w:val="24"/>
          <w:szCs w:val="24"/>
        </w:rPr>
        <w:t xml:space="preserve">107. </w:t>
      </w:r>
    </w:p>
    <w:p w14:paraId="30600F2A" w14:textId="6DCD0EDA" w:rsidR="000C32C4" w:rsidRPr="00A0742A" w:rsidRDefault="000C32C4" w:rsidP="000C32C4">
      <w:pPr>
        <w:pStyle w:val="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A0742A">
        <w:rPr>
          <w:rFonts w:ascii="Times New Roman" w:hAnsi="Times New Roman" w:cs="Times New Roman"/>
          <w:sz w:val="24"/>
          <w:szCs w:val="24"/>
        </w:rPr>
        <w:t xml:space="preserve">. Controversies in guidelines for the control of multidrug-resistant Gram-negative bacteria in EU countries -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ScienceDirect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[Internet]. [</w:t>
      </w:r>
      <w:proofErr w:type="gramStart"/>
      <w:r w:rsidRPr="00A0742A">
        <w:rPr>
          <w:rFonts w:ascii="Times New Roman" w:hAnsi="Times New Roman" w:cs="Times New Roman"/>
          <w:sz w:val="24"/>
          <w:szCs w:val="24"/>
        </w:rPr>
        <w:t>cited</w:t>
      </w:r>
      <w:proofErr w:type="gramEnd"/>
      <w:r w:rsidRPr="00A0742A">
        <w:rPr>
          <w:rFonts w:ascii="Times New Roman" w:hAnsi="Times New Roman" w:cs="Times New Roman"/>
          <w:sz w:val="24"/>
          <w:szCs w:val="24"/>
        </w:rPr>
        <w:t xml:space="preserve"> 2022 Jan 27]. Available from: https://www.sciencedirect.com/science/article/pii/S1198743X15008782?via%3Dihub</w:t>
      </w:r>
    </w:p>
    <w:p w14:paraId="1CAE4CD5" w14:textId="26F1CAF0" w:rsidR="0004253B" w:rsidRPr="005A4F82" w:rsidRDefault="000C32C4" w:rsidP="00EF0079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A0742A">
        <w:rPr>
          <w:rFonts w:ascii="Times New Roman" w:hAnsi="Times New Roman" w:cs="Times New Roman"/>
          <w:sz w:val="24"/>
          <w:szCs w:val="24"/>
        </w:rPr>
        <w:t xml:space="preserve">. Surveillance of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healthcare-associated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infections in intensive care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units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- Publications Office of the EU [Internet]. [</w:t>
      </w:r>
      <w:proofErr w:type="spellStart"/>
      <w:proofErr w:type="gramStart"/>
      <w:r w:rsidRPr="00A0742A">
        <w:rPr>
          <w:rFonts w:ascii="Times New Roman" w:hAnsi="Times New Roman" w:cs="Times New Roman"/>
          <w:sz w:val="24"/>
          <w:szCs w:val="24"/>
        </w:rPr>
        <w:t>cited</w:t>
      </w:r>
      <w:proofErr w:type="spellEnd"/>
      <w:proofErr w:type="gramEnd"/>
      <w:r w:rsidRPr="00A0742A">
        <w:rPr>
          <w:rFonts w:ascii="Times New Roman" w:hAnsi="Times New Roman" w:cs="Times New Roman"/>
          <w:sz w:val="24"/>
          <w:szCs w:val="24"/>
        </w:rPr>
        <w:t xml:space="preserve"> 2022 Jan 26].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42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0742A">
        <w:rPr>
          <w:rFonts w:ascii="Times New Roman" w:hAnsi="Times New Roman" w:cs="Times New Roman"/>
          <w:sz w:val="24"/>
          <w:szCs w:val="24"/>
        </w:rPr>
        <w:t>: https://op.europa.eu/en/publication-detail/-/publication/803d18a8-82f7-11e7-b5c6-01aa75ed71a1/language-en</w:t>
      </w:r>
    </w:p>
    <w:sectPr w:rsidR="0004253B" w:rsidRPr="005A4F82" w:rsidSect="005A4F8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1DAFB" w16cex:dateUtc="2022-06-13T13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825B1A8" w16cid:durableId="2651DAF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B35"/>
    <w:rsid w:val="0004253B"/>
    <w:rsid w:val="0006310A"/>
    <w:rsid w:val="000C32C4"/>
    <w:rsid w:val="000F6245"/>
    <w:rsid w:val="001A6827"/>
    <w:rsid w:val="001C52C7"/>
    <w:rsid w:val="00204DEA"/>
    <w:rsid w:val="00206154"/>
    <w:rsid w:val="00346B75"/>
    <w:rsid w:val="00353209"/>
    <w:rsid w:val="0045790E"/>
    <w:rsid w:val="004B31F8"/>
    <w:rsid w:val="004B33BF"/>
    <w:rsid w:val="005A4F82"/>
    <w:rsid w:val="006D2D35"/>
    <w:rsid w:val="00742462"/>
    <w:rsid w:val="00771EDD"/>
    <w:rsid w:val="0079412E"/>
    <w:rsid w:val="007D416A"/>
    <w:rsid w:val="008D1BEE"/>
    <w:rsid w:val="008E425C"/>
    <w:rsid w:val="008F372C"/>
    <w:rsid w:val="00CA4D71"/>
    <w:rsid w:val="00CB4B35"/>
    <w:rsid w:val="00D92606"/>
    <w:rsid w:val="00DA040A"/>
    <w:rsid w:val="00DB39DA"/>
    <w:rsid w:val="00DF6821"/>
    <w:rsid w:val="00E2595B"/>
    <w:rsid w:val="00ED7C80"/>
    <w:rsid w:val="00EF0079"/>
    <w:rsid w:val="00F1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9ED68"/>
  <w15:chartTrackingRefBased/>
  <w15:docId w15:val="{68960657-1540-495D-9C2B-45FE9F42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4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2D35"/>
    <w:pPr>
      <w:spacing w:after="0" w:line="240" w:lineRule="auto"/>
    </w:pPr>
    <w:rPr>
      <w:rFonts w:ascii="Arial" w:eastAsia="Arial" w:hAnsi="Arial" w:cs="Arial"/>
      <w:lang w:val="fr" w:eastAsia="fr-FR"/>
    </w:rPr>
  </w:style>
  <w:style w:type="paragraph" w:styleId="Revision">
    <w:name w:val="Revision"/>
    <w:hidden/>
    <w:uiPriority w:val="99"/>
    <w:semiHidden/>
    <w:rsid w:val="005A4F8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A4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4F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4F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F82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0C32C4"/>
    <w:pPr>
      <w:spacing w:after="0" w:line="276" w:lineRule="auto"/>
    </w:pPr>
    <w:rPr>
      <w:rFonts w:ascii="Arial" w:eastAsia="Arial" w:hAnsi="Arial" w:cs="Arial"/>
      <w:lang w:val="en-US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0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chart" Target="charts/chart2.xml"/><Relationship Id="rId10" Type="http://schemas.microsoft.com/office/2016/09/relationships/commentsIds" Target="commentsIds.xml"/><Relationship Id="rId4" Type="http://schemas.openxmlformats.org/officeDocument/2006/relationships/chart" Target="charts/chart1.xml"/><Relationship Id="rId9" Type="http://schemas.microsoft.com/office/2018/08/relationships/commentsExtensible" Target="commentsExtensi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BLASCARROU\OneDrive\M&#233;decine%20Intensive%20&amp;%20R&#233;animation\PROJET\Covid19\Covid19_Lamouche\CTC%20&amp;%20PAVM\Donn&#233;es%20et%20stats%20pour%20figure%20Bact&#233;rio\e.Figure%202.%20VAP%20Microbiolog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BLASCARROU\OneDrive\M&#233;decine%20Intensive%20&amp;%20R&#233;animation\PROJET\Covid19\Covid19_Lamouche\CTC%20&amp;%20PAVM\Donn&#233;es%20et%20stats%20pour%20figure%20Bact&#233;rio\e.Figure%202.%20VAP%20Microbiolog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fr-FR" sz="2000">
                <a:solidFill>
                  <a:schemeClr val="tx1"/>
                </a:solidFill>
              </a:rPr>
              <a:t>Early</a:t>
            </a:r>
            <a:r>
              <a:rPr lang="fr-FR" sz="2000" baseline="0">
                <a:solidFill>
                  <a:schemeClr val="tx1"/>
                </a:solidFill>
              </a:rPr>
              <a:t> steroids</a:t>
            </a:r>
            <a:endParaRPr lang="fr-FR" sz="2000">
              <a:solidFill>
                <a:schemeClr val="tx1"/>
              </a:solidFill>
            </a:endParaRPr>
          </a:p>
        </c:rich>
      </c:tx>
      <c:layout>
        <c:manualLayout>
          <c:xMode val="edge"/>
          <c:yMode val="edge"/>
          <c:x val="0.17878952281802765"/>
          <c:y val="0.5190593377804184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FDC-4CDC-B3E6-C4032149D476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FDC-4CDC-B3E6-C4032149D476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FDC-4CDC-B3E6-C4032149D476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FDC-4CDC-B3E6-C4032149D476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FDC-4CDC-B3E6-C4032149D476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6FDC-4CDC-B3E6-C4032149D476}"/>
              </c:ext>
            </c:extLst>
          </c:dPt>
          <c:dPt>
            <c:idx val="6"/>
            <c:bubble3D val="0"/>
            <c:spPr>
              <a:gradFill>
                <a:gsLst>
                  <a:gs pos="100000">
                    <a:schemeClr val="accent1">
                      <a:lumMod val="60000"/>
                      <a:lumMod val="60000"/>
                      <a:lumOff val="40000"/>
                    </a:schemeClr>
                  </a:gs>
                  <a:gs pos="0">
                    <a:schemeClr val="accent1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6FDC-4CDC-B3E6-C4032149D476}"/>
              </c:ext>
            </c:extLst>
          </c:dPt>
          <c:dPt>
            <c:idx val="7"/>
            <c:bubble3D val="0"/>
            <c:spPr>
              <a:gradFill>
                <a:gsLst>
                  <a:gs pos="100000">
                    <a:schemeClr val="accent2">
                      <a:lumMod val="60000"/>
                      <a:lumMod val="60000"/>
                      <a:lumOff val="40000"/>
                    </a:schemeClr>
                  </a:gs>
                  <a:gs pos="0">
                    <a:schemeClr val="accent2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6FDC-4CDC-B3E6-C4032149D476}"/>
              </c:ext>
            </c:extLst>
          </c:dPt>
          <c:dPt>
            <c:idx val="8"/>
            <c:bubble3D val="0"/>
            <c:spPr>
              <a:gradFill>
                <a:gsLst>
                  <a:gs pos="100000">
                    <a:schemeClr val="accent3">
                      <a:lumMod val="60000"/>
                      <a:lumMod val="60000"/>
                      <a:lumOff val="40000"/>
                    </a:schemeClr>
                  </a:gs>
                  <a:gs pos="0">
                    <a:schemeClr val="accent3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6FDC-4CDC-B3E6-C4032149D476}"/>
              </c:ext>
            </c:extLst>
          </c:dPt>
          <c:dPt>
            <c:idx val="9"/>
            <c:bubble3D val="0"/>
            <c:spPr>
              <a:gradFill>
                <a:gsLst>
                  <a:gs pos="100000">
                    <a:schemeClr val="accent4">
                      <a:lumMod val="60000"/>
                      <a:lumMod val="60000"/>
                      <a:lumOff val="40000"/>
                    </a:schemeClr>
                  </a:gs>
                  <a:gs pos="0">
                    <a:schemeClr val="accent4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6FDC-4CDC-B3E6-C4032149D476}"/>
              </c:ext>
            </c:extLst>
          </c:dPt>
          <c:dPt>
            <c:idx val="10"/>
            <c:bubble3D val="0"/>
            <c:spPr>
              <a:gradFill>
                <a:gsLst>
                  <a:gs pos="100000">
                    <a:schemeClr val="accent5">
                      <a:lumMod val="60000"/>
                      <a:lumMod val="60000"/>
                      <a:lumOff val="40000"/>
                    </a:schemeClr>
                  </a:gs>
                  <a:gs pos="0">
                    <a:schemeClr val="accent5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6FDC-4CDC-B3E6-C4032149D476}"/>
              </c:ext>
            </c:extLst>
          </c:dPt>
          <c:dPt>
            <c:idx val="11"/>
            <c:bubble3D val="0"/>
            <c:spPr>
              <a:gradFill>
                <a:gsLst>
                  <a:gs pos="100000">
                    <a:schemeClr val="accent6">
                      <a:lumMod val="60000"/>
                      <a:lumMod val="60000"/>
                      <a:lumOff val="40000"/>
                    </a:schemeClr>
                  </a:gs>
                  <a:gs pos="0">
                    <a:schemeClr val="accent6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6FDC-4CDC-B3E6-C4032149D476}"/>
              </c:ext>
            </c:extLst>
          </c:dPt>
          <c:dPt>
            <c:idx val="12"/>
            <c:bubble3D val="0"/>
            <c:spPr>
              <a:gradFill>
                <a:gsLst>
                  <a:gs pos="100000">
                    <a:schemeClr val="accent1">
                      <a:lumMod val="80000"/>
                      <a:lumOff val="20000"/>
                      <a:lumMod val="60000"/>
                      <a:lumOff val="40000"/>
                    </a:schemeClr>
                  </a:gs>
                  <a:gs pos="0">
                    <a:schemeClr val="accent1">
                      <a:lumMod val="80000"/>
                      <a:lumOff val="2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6FDC-4CDC-B3E6-C4032149D476}"/>
              </c:ext>
            </c:extLst>
          </c:dPt>
          <c:dPt>
            <c:idx val="13"/>
            <c:bubble3D val="0"/>
            <c:spPr>
              <a:gradFill>
                <a:gsLst>
                  <a:gs pos="100000">
                    <a:schemeClr val="accent2">
                      <a:lumMod val="80000"/>
                      <a:lumOff val="20000"/>
                      <a:lumMod val="60000"/>
                      <a:lumOff val="40000"/>
                    </a:schemeClr>
                  </a:gs>
                  <a:gs pos="0">
                    <a:schemeClr val="accent2">
                      <a:lumMod val="80000"/>
                      <a:lumOff val="2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6FDC-4CDC-B3E6-C4032149D47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Feuil1!$C$5:$C$18</c:f>
              <c:strCache>
                <c:ptCount val="14"/>
                <c:pt idx="0">
                  <c:v>Pseudomonas aeruginosa</c:v>
                </c:pt>
                <c:pt idx="1">
                  <c:v>Acinetobacter spp</c:v>
                </c:pt>
                <c:pt idx="2">
                  <c:v>Klebsiella pneumoniae</c:v>
                </c:pt>
                <c:pt idx="3">
                  <c:v>Enterobacter Spp</c:v>
                </c:pt>
                <c:pt idx="4">
                  <c:v>Stenotrophomonas maltophilia</c:v>
                </c:pt>
                <c:pt idx="5">
                  <c:v>Escherichia coli</c:v>
                </c:pt>
                <c:pt idx="6">
                  <c:v>Morganella morganii</c:v>
                </c:pt>
                <c:pt idx="7">
                  <c:v>Serratia marscescens</c:v>
                </c:pt>
                <c:pt idx="8">
                  <c:v>Proteus mirabilis</c:v>
                </c:pt>
                <c:pt idx="9">
                  <c:v>Haemophilus influenzae</c:v>
                </c:pt>
                <c:pt idx="10">
                  <c:v>Citrobacter freundii</c:v>
                </c:pt>
                <c:pt idx="11">
                  <c:v>Other Gram negative bacilli</c:v>
                </c:pt>
                <c:pt idx="12">
                  <c:v>Staphylococcus aureus</c:v>
                </c:pt>
                <c:pt idx="13">
                  <c:v>Other Gram positive cocci</c:v>
                </c:pt>
              </c:strCache>
            </c:strRef>
          </c:cat>
          <c:val>
            <c:numRef>
              <c:f>Feuil1!$D$5:$D$18</c:f>
              <c:numCache>
                <c:formatCode>General</c:formatCode>
                <c:ptCount val="14"/>
                <c:pt idx="0">
                  <c:v>48</c:v>
                </c:pt>
                <c:pt idx="1">
                  <c:v>5</c:v>
                </c:pt>
                <c:pt idx="2">
                  <c:v>13</c:v>
                </c:pt>
                <c:pt idx="3">
                  <c:v>30</c:v>
                </c:pt>
                <c:pt idx="4">
                  <c:v>8</c:v>
                </c:pt>
                <c:pt idx="5">
                  <c:v>17</c:v>
                </c:pt>
                <c:pt idx="6">
                  <c:v>6</c:v>
                </c:pt>
                <c:pt idx="7">
                  <c:v>15</c:v>
                </c:pt>
                <c:pt idx="8">
                  <c:v>5</c:v>
                </c:pt>
                <c:pt idx="9">
                  <c:v>12</c:v>
                </c:pt>
                <c:pt idx="10">
                  <c:v>5</c:v>
                </c:pt>
                <c:pt idx="11">
                  <c:v>31</c:v>
                </c:pt>
                <c:pt idx="12">
                  <c:v>38</c:v>
                </c:pt>
                <c:pt idx="13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C-6FDC-4CDC-B3E6-C4032149D47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70"/>
      </c:doughnutChart>
      <c:spPr>
        <a:noFill/>
        <a:ln>
          <a:noFill/>
        </a:ln>
        <a:effectLst/>
      </c:spPr>
    </c:plotArea>
    <c:legend>
      <c:legendPos val="r"/>
      <c:layout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fr-FR" sz="2000">
                <a:solidFill>
                  <a:schemeClr val="tx1"/>
                </a:solidFill>
              </a:rPr>
              <a:t>Control</a:t>
            </a:r>
            <a:r>
              <a:rPr lang="fr-FR" sz="2000" baseline="0">
                <a:solidFill>
                  <a:schemeClr val="tx1"/>
                </a:solidFill>
              </a:rPr>
              <a:t> group</a:t>
            </a:r>
            <a:endParaRPr lang="fr-FR" sz="2000">
              <a:solidFill>
                <a:schemeClr val="tx1"/>
              </a:solidFill>
            </a:endParaRPr>
          </a:p>
        </c:rich>
      </c:tx>
      <c:layout>
        <c:manualLayout>
          <c:xMode val="edge"/>
          <c:yMode val="edge"/>
          <c:x val="0.16568738482157816"/>
          <c:y val="0.4998094344906638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981-4047-AAC5-850E1241CF0A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981-4047-AAC5-850E1241CF0A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981-4047-AAC5-850E1241CF0A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981-4047-AAC5-850E1241CF0A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981-4047-AAC5-850E1241CF0A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3981-4047-AAC5-850E1241CF0A}"/>
              </c:ext>
            </c:extLst>
          </c:dPt>
          <c:dPt>
            <c:idx val="6"/>
            <c:bubble3D val="0"/>
            <c:spPr>
              <a:gradFill>
                <a:gsLst>
                  <a:gs pos="100000">
                    <a:schemeClr val="accent1">
                      <a:lumMod val="60000"/>
                      <a:lumMod val="60000"/>
                      <a:lumOff val="40000"/>
                    </a:schemeClr>
                  </a:gs>
                  <a:gs pos="0">
                    <a:schemeClr val="accent1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3981-4047-AAC5-850E1241CF0A}"/>
              </c:ext>
            </c:extLst>
          </c:dPt>
          <c:dPt>
            <c:idx val="7"/>
            <c:bubble3D val="0"/>
            <c:spPr>
              <a:gradFill>
                <a:gsLst>
                  <a:gs pos="100000">
                    <a:schemeClr val="accent2">
                      <a:lumMod val="60000"/>
                      <a:lumMod val="60000"/>
                      <a:lumOff val="40000"/>
                    </a:schemeClr>
                  </a:gs>
                  <a:gs pos="0">
                    <a:schemeClr val="accent2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3981-4047-AAC5-850E1241CF0A}"/>
              </c:ext>
            </c:extLst>
          </c:dPt>
          <c:dPt>
            <c:idx val="8"/>
            <c:bubble3D val="0"/>
            <c:spPr>
              <a:gradFill>
                <a:gsLst>
                  <a:gs pos="100000">
                    <a:schemeClr val="accent3">
                      <a:lumMod val="60000"/>
                      <a:lumMod val="60000"/>
                      <a:lumOff val="40000"/>
                    </a:schemeClr>
                  </a:gs>
                  <a:gs pos="0">
                    <a:schemeClr val="accent3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3981-4047-AAC5-850E1241CF0A}"/>
              </c:ext>
            </c:extLst>
          </c:dPt>
          <c:dPt>
            <c:idx val="9"/>
            <c:bubble3D val="0"/>
            <c:spPr>
              <a:gradFill>
                <a:gsLst>
                  <a:gs pos="100000">
                    <a:schemeClr val="accent4">
                      <a:lumMod val="60000"/>
                      <a:lumMod val="60000"/>
                      <a:lumOff val="40000"/>
                    </a:schemeClr>
                  </a:gs>
                  <a:gs pos="0">
                    <a:schemeClr val="accent4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3981-4047-AAC5-850E1241CF0A}"/>
              </c:ext>
            </c:extLst>
          </c:dPt>
          <c:dPt>
            <c:idx val="10"/>
            <c:bubble3D val="0"/>
            <c:spPr>
              <a:gradFill>
                <a:gsLst>
                  <a:gs pos="100000">
                    <a:schemeClr val="accent5">
                      <a:lumMod val="60000"/>
                      <a:lumMod val="60000"/>
                      <a:lumOff val="40000"/>
                    </a:schemeClr>
                  </a:gs>
                  <a:gs pos="0">
                    <a:schemeClr val="accent5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3981-4047-AAC5-850E1241CF0A}"/>
              </c:ext>
            </c:extLst>
          </c:dPt>
          <c:dPt>
            <c:idx val="11"/>
            <c:bubble3D val="0"/>
            <c:spPr>
              <a:gradFill>
                <a:gsLst>
                  <a:gs pos="100000">
                    <a:schemeClr val="accent6">
                      <a:lumMod val="60000"/>
                      <a:lumMod val="60000"/>
                      <a:lumOff val="40000"/>
                    </a:schemeClr>
                  </a:gs>
                  <a:gs pos="0">
                    <a:schemeClr val="accent6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3981-4047-AAC5-850E1241CF0A}"/>
              </c:ext>
            </c:extLst>
          </c:dPt>
          <c:dPt>
            <c:idx val="12"/>
            <c:bubble3D val="0"/>
            <c:spPr>
              <a:gradFill>
                <a:gsLst>
                  <a:gs pos="100000">
                    <a:schemeClr val="accent1">
                      <a:lumMod val="80000"/>
                      <a:lumOff val="20000"/>
                      <a:lumMod val="60000"/>
                      <a:lumOff val="40000"/>
                    </a:schemeClr>
                  </a:gs>
                  <a:gs pos="0">
                    <a:schemeClr val="accent1">
                      <a:lumMod val="80000"/>
                      <a:lumOff val="2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3981-4047-AAC5-850E1241CF0A}"/>
              </c:ext>
            </c:extLst>
          </c:dPt>
          <c:dPt>
            <c:idx val="13"/>
            <c:bubble3D val="0"/>
            <c:spPr>
              <a:gradFill>
                <a:gsLst>
                  <a:gs pos="100000">
                    <a:schemeClr val="accent2">
                      <a:lumMod val="80000"/>
                      <a:lumOff val="20000"/>
                      <a:lumMod val="60000"/>
                      <a:lumOff val="40000"/>
                    </a:schemeClr>
                  </a:gs>
                  <a:gs pos="0">
                    <a:schemeClr val="accent2">
                      <a:lumMod val="80000"/>
                      <a:lumOff val="2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3981-4047-AAC5-850E1241CF0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Feuil2!$C$5:$C$18</c:f>
              <c:strCache>
                <c:ptCount val="14"/>
                <c:pt idx="0">
                  <c:v>Pseudomonas aeruginosa</c:v>
                </c:pt>
                <c:pt idx="1">
                  <c:v>Acinetobacter spp</c:v>
                </c:pt>
                <c:pt idx="2">
                  <c:v>Klebsiella pneumoniae</c:v>
                </c:pt>
                <c:pt idx="3">
                  <c:v>Enterobacter Spp</c:v>
                </c:pt>
                <c:pt idx="4">
                  <c:v>Stenotrophomonas maltophilia</c:v>
                </c:pt>
                <c:pt idx="5">
                  <c:v>Escherichia coli</c:v>
                </c:pt>
                <c:pt idx="6">
                  <c:v>Morganella morganii</c:v>
                </c:pt>
                <c:pt idx="7">
                  <c:v>Serratia marscescens</c:v>
                </c:pt>
                <c:pt idx="8">
                  <c:v>Proteus mirabilis</c:v>
                </c:pt>
                <c:pt idx="9">
                  <c:v>Haemophilus influenzae</c:v>
                </c:pt>
                <c:pt idx="10">
                  <c:v>Citrobacter freundii</c:v>
                </c:pt>
                <c:pt idx="11">
                  <c:v>Other Gram negative bacilli</c:v>
                </c:pt>
                <c:pt idx="12">
                  <c:v>Staphylococcus aureus</c:v>
                </c:pt>
                <c:pt idx="13">
                  <c:v>Other Gram positive cocci</c:v>
                </c:pt>
              </c:strCache>
            </c:strRef>
          </c:cat>
          <c:val>
            <c:numRef>
              <c:f>Feuil2!$D$5:$D$18</c:f>
              <c:numCache>
                <c:formatCode>General</c:formatCode>
                <c:ptCount val="14"/>
                <c:pt idx="0">
                  <c:v>29</c:v>
                </c:pt>
                <c:pt idx="1">
                  <c:v>3</c:v>
                </c:pt>
                <c:pt idx="2">
                  <c:v>17</c:v>
                </c:pt>
                <c:pt idx="3">
                  <c:v>15</c:v>
                </c:pt>
                <c:pt idx="4">
                  <c:v>6</c:v>
                </c:pt>
                <c:pt idx="5">
                  <c:v>16</c:v>
                </c:pt>
                <c:pt idx="6">
                  <c:v>3</c:v>
                </c:pt>
                <c:pt idx="7">
                  <c:v>7</c:v>
                </c:pt>
                <c:pt idx="8">
                  <c:v>2</c:v>
                </c:pt>
                <c:pt idx="9">
                  <c:v>6</c:v>
                </c:pt>
                <c:pt idx="10">
                  <c:v>2</c:v>
                </c:pt>
                <c:pt idx="11">
                  <c:v>33</c:v>
                </c:pt>
                <c:pt idx="12">
                  <c:v>30</c:v>
                </c:pt>
                <c:pt idx="13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C-3981-4047-AAC5-850E1241CF0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70"/>
      </c:doughnutChart>
      <c:spPr>
        <a:noFill/>
        <a:ln>
          <a:noFill/>
        </a:ln>
        <a:effectLst/>
      </c:spPr>
    </c:plotArea>
    <c:legend>
      <c:legendPos val="r"/>
      <c:layout/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1123</Words>
  <Characters>6404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CHU-NANTES</Company>
  <LinksUpToDate>false</LinksUpToDate>
  <CharactersWithSpaces>7512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LAMOUCHE WILQUIN Pauline</dc:creator>
  <cp:keywords/>
  <dc:description/>
  <cp:lastModifiedBy>Femina P.</cp:lastModifiedBy>
  <cp:revision>7</cp:revision>
  <dcterms:created xsi:type="dcterms:W3CDTF">2022-06-13T13:44:00Z</dcterms:created>
  <dcterms:modified xsi:type="dcterms:W3CDTF">2022-07-20T01:51:00Z</dcterms:modified>
</cp:coreProperties>
</file>