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Grilledutableau"/>
        <w:tblpPr w:leftFromText="141" w:rightFromText="141" w:vertAnchor="page" w:horzAnchor="page" w:tblpX="1630" w:tblpY="2525"/>
        <w:tblW w:w="0" w:type="auto"/>
        <w:tblLook w:val="04A0" w:firstRow="1" w:lastRow="0" w:firstColumn="1" w:lastColumn="0" w:noHBand="0" w:noVBand="1"/>
      </w:tblPr>
      <w:tblGrid>
        <w:gridCol w:w="2694"/>
        <w:gridCol w:w="1984"/>
        <w:gridCol w:w="1134"/>
        <w:gridCol w:w="2175"/>
        <w:gridCol w:w="1079"/>
      </w:tblGrid>
      <w:tr w:rsidR="00751D6C" w:rsidRPr="00751D6C" w14:paraId="4C336137" w14:textId="77777777" w:rsidTr="00501DED">
        <w:tc>
          <w:tcPr>
            <w:tcW w:w="2694" w:type="dxa"/>
            <w:tcBorders>
              <w:top w:val="single" w:sz="4" w:space="0" w:color="auto"/>
              <w:left w:val="nil"/>
              <w:bottom w:val="single" w:sz="4" w:space="0" w:color="auto"/>
              <w:right w:val="nil"/>
            </w:tcBorders>
            <w:vAlign w:val="center"/>
          </w:tcPr>
          <w:p w14:paraId="7C8B9C29" w14:textId="505FB395" w:rsidR="00971958" w:rsidRPr="00751D6C" w:rsidRDefault="00971958" w:rsidP="00501DED">
            <w:pPr>
              <w:spacing w:line="360" w:lineRule="auto"/>
              <w:rPr>
                <w:rFonts w:cs="Arial"/>
                <w:b/>
                <w:color w:val="000000" w:themeColor="text1"/>
                <w:sz w:val="22"/>
                <w:szCs w:val="22"/>
                <w:lang w:val="en-US"/>
              </w:rPr>
            </w:pPr>
            <w:r w:rsidRPr="00751D6C">
              <w:rPr>
                <w:rFonts w:cs="Arial"/>
                <w:b/>
                <w:color w:val="000000" w:themeColor="text1"/>
                <w:sz w:val="22"/>
                <w:szCs w:val="22"/>
                <w:lang w:val="en-US"/>
              </w:rPr>
              <w:t>Variable</w:t>
            </w:r>
          </w:p>
        </w:tc>
        <w:tc>
          <w:tcPr>
            <w:tcW w:w="1984" w:type="dxa"/>
            <w:tcBorders>
              <w:top w:val="single" w:sz="4" w:space="0" w:color="auto"/>
              <w:left w:val="nil"/>
              <w:bottom w:val="single" w:sz="4" w:space="0" w:color="auto"/>
              <w:right w:val="nil"/>
            </w:tcBorders>
          </w:tcPr>
          <w:p w14:paraId="12F2BEF8" w14:textId="77777777" w:rsidR="00971958" w:rsidRPr="00751D6C" w:rsidRDefault="00971958" w:rsidP="00501DED">
            <w:pPr>
              <w:spacing w:line="360" w:lineRule="auto"/>
              <w:jc w:val="center"/>
              <w:rPr>
                <w:rFonts w:cs="Arial"/>
                <w:b/>
                <w:color w:val="000000" w:themeColor="text1"/>
                <w:sz w:val="22"/>
                <w:szCs w:val="22"/>
                <w:lang w:val="en-US"/>
              </w:rPr>
            </w:pPr>
            <w:r w:rsidRPr="00751D6C">
              <w:rPr>
                <w:rFonts w:cs="Arial"/>
                <w:b/>
                <w:color w:val="000000" w:themeColor="text1"/>
                <w:sz w:val="22"/>
                <w:szCs w:val="22"/>
                <w:lang w:val="en-US"/>
              </w:rPr>
              <w:t>Unadjusted</w:t>
            </w:r>
          </w:p>
          <w:p w14:paraId="0594DD21" w14:textId="4022FD23" w:rsidR="00971958" w:rsidRPr="00751D6C" w:rsidRDefault="00971958" w:rsidP="00501DED">
            <w:pPr>
              <w:spacing w:line="360" w:lineRule="auto"/>
              <w:jc w:val="center"/>
              <w:rPr>
                <w:rFonts w:cs="Arial"/>
                <w:b/>
                <w:color w:val="000000" w:themeColor="text1"/>
                <w:sz w:val="22"/>
                <w:szCs w:val="22"/>
                <w:lang w:val="en-US"/>
              </w:rPr>
            </w:pPr>
            <w:r w:rsidRPr="00751D6C">
              <w:rPr>
                <w:rFonts w:cs="Arial"/>
                <w:b/>
                <w:color w:val="000000" w:themeColor="text1"/>
                <w:sz w:val="22"/>
                <w:szCs w:val="22"/>
                <w:lang w:val="en-US"/>
              </w:rPr>
              <w:t xml:space="preserve">OR </w:t>
            </w:r>
            <w:r w:rsidR="00023D5B">
              <w:rPr>
                <w:rFonts w:cs="Arial"/>
                <w:b/>
                <w:sz w:val="22"/>
                <w:szCs w:val="22"/>
                <w:lang w:val="en-US"/>
              </w:rPr>
              <w:t xml:space="preserve">[95%CI] for a </w:t>
            </w:r>
            <w:r w:rsidR="00FF6CAB">
              <w:rPr>
                <w:rFonts w:cs="Arial"/>
                <w:b/>
                <w:sz w:val="22"/>
                <w:szCs w:val="22"/>
                <w:lang w:val="en-US"/>
              </w:rPr>
              <w:t>10-mmHg</w:t>
            </w:r>
            <w:r w:rsidR="00023D5B">
              <w:rPr>
                <w:rFonts w:cs="Arial"/>
                <w:b/>
                <w:sz w:val="22"/>
                <w:szCs w:val="22"/>
                <w:lang w:val="en-US"/>
              </w:rPr>
              <w:t xml:space="preserve"> increment</w:t>
            </w:r>
          </w:p>
        </w:tc>
        <w:tc>
          <w:tcPr>
            <w:tcW w:w="1134" w:type="dxa"/>
            <w:tcBorders>
              <w:top w:val="single" w:sz="4" w:space="0" w:color="auto"/>
              <w:left w:val="nil"/>
              <w:bottom w:val="single" w:sz="4" w:space="0" w:color="auto"/>
              <w:right w:val="nil"/>
            </w:tcBorders>
            <w:vAlign w:val="center"/>
          </w:tcPr>
          <w:p w14:paraId="3AF3F4D5" w14:textId="77777777" w:rsidR="00971958" w:rsidRPr="00751D6C" w:rsidRDefault="00971958" w:rsidP="00501DED">
            <w:pPr>
              <w:spacing w:line="360" w:lineRule="auto"/>
              <w:jc w:val="center"/>
              <w:rPr>
                <w:rFonts w:cs="Arial"/>
                <w:b/>
                <w:color w:val="000000" w:themeColor="text1"/>
                <w:sz w:val="22"/>
                <w:szCs w:val="22"/>
                <w:lang w:val="en-US"/>
              </w:rPr>
            </w:pPr>
            <w:r w:rsidRPr="00751D6C">
              <w:rPr>
                <w:rFonts w:cs="Arial"/>
                <w:b/>
                <w:i/>
                <w:color w:val="000000" w:themeColor="text1"/>
                <w:sz w:val="22"/>
                <w:szCs w:val="22"/>
                <w:lang w:val="en-US"/>
              </w:rPr>
              <w:t>P</w:t>
            </w:r>
            <w:r w:rsidRPr="00751D6C">
              <w:rPr>
                <w:rFonts w:cs="Arial"/>
                <w:b/>
                <w:color w:val="000000" w:themeColor="text1"/>
                <w:sz w:val="22"/>
                <w:szCs w:val="22"/>
                <w:lang w:val="en-US"/>
              </w:rPr>
              <w:t>-value</w:t>
            </w:r>
          </w:p>
        </w:tc>
        <w:tc>
          <w:tcPr>
            <w:tcW w:w="2175" w:type="dxa"/>
            <w:tcBorders>
              <w:top w:val="single" w:sz="4" w:space="0" w:color="auto"/>
              <w:left w:val="nil"/>
              <w:bottom w:val="single" w:sz="4" w:space="0" w:color="auto"/>
              <w:right w:val="nil"/>
            </w:tcBorders>
            <w:vAlign w:val="center"/>
          </w:tcPr>
          <w:p w14:paraId="3C0471E9" w14:textId="77777777" w:rsidR="00971958" w:rsidRPr="00751D6C" w:rsidRDefault="00971958" w:rsidP="00501DED">
            <w:pPr>
              <w:spacing w:line="360" w:lineRule="auto"/>
              <w:jc w:val="center"/>
              <w:rPr>
                <w:rFonts w:cs="Arial"/>
                <w:b/>
                <w:color w:val="000000" w:themeColor="text1"/>
                <w:sz w:val="22"/>
                <w:szCs w:val="22"/>
                <w:vertAlign w:val="superscript"/>
                <w:lang w:val="en-US"/>
              </w:rPr>
            </w:pPr>
            <w:r w:rsidRPr="00751D6C">
              <w:rPr>
                <w:rFonts w:cs="Arial"/>
                <w:b/>
                <w:color w:val="000000" w:themeColor="text1"/>
                <w:sz w:val="22"/>
                <w:szCs w:val="22"/>
                <w:lang w:val="en-US"/>
              </w:rPr>
              <w:t xml:space="preserve">Adjusted </w:t>
            </w:r>
            <w:r w:rsidRPr="00751D6C">
              <w:rPr>
                <w:rFonts w:cs="Arial"/>
                <w:b/>
                <w:color w:val="000000" w:themeColor="text1"/>
                <w:sz w:val="22"/>
                <w:szCs w:val="22"/>
                <w:vertAlign w:val="superscript"/>
                <w:lang w:val="en-US"/>
              </w:rPr>
              <w:t>a</w:t>
            </w:r>
          </w:p>
          <w:p w14:paraId="1192CC04" w14:textId="148EEA5D" w:rsidR="00971958" w:rsidRPr="00751D6C" w:rsidRDefault="00971958" w:rsidP="00501DED">
            <w:pPr>
              <w:spacing w:line="360" w:lineRule="auto"/>
              <w:jc w:val="center"/>
              <w:rPr>
                <w:rFonts w:cs="Arial"/>
                <w:b/>
                <w:color w:val="000000" w:themeColor="text1"/>
                <w:sz w:val="22"/>
                <w:szCs w:val="22"/>
                <w:lang w:val="en-US"/>
              </w:rPr>
            </w:pPr>
            <w:r w:rsidRPr="00751D6C">
              <w:rPr>
                <w:rFonts w:cs="Arial"/>
                <w:b/>
                <w:color w:val="000000" w:themeColor="text1"/>
                <w:sz w:val="22"/>
                <w:szCs w:val="22"/>
                <w:lang w:val="en-US"/>
              </w:rPr>
              <w:t xml:space="preserve">OR </w:t>
            </w:r>
            <w:r w:rsidR="00023D5B">
              <w:rPr>
                <w:rFonts w:cs="Arial"/>
                <w:b/>
                <w:sz w:val="22"/>
                <w:szCs w:val="22"/>
                <w:lang w:val="en-US"/>
              </w:rPr>
              <w:t xml:space="preserve">[95%CI] for a </w:t>
            </w:r>
            <w:r w:rsidR="00FF6CAB">
              <w:rPr>
                <w:rFonts w:cs="Arial"/>
                <w:b/>
                <w:sz w:val="22"/>
                <w:szCs w:val="22"/>
                <w:lang w:val="en-US"/>
              </w:rPr>
              <w:t>10-mmHg</w:t>
            </w:r>
            <w:r w:rsidR="00023D5B">
              <w:rPr>
                <w:rFonts w:cs="Arial"/>
                <w:b/>
                <w:sz w:val="22"/>
                <w:szCs w:val="22"/>
                <w:lang w:val="en-US"/>
              </w:rPr>
              <w:t xml:space="preserve"> increment</w:t>
            </w:r>
          </w:p>
        </w:tc>
        <w:tc>
          <w:tcPr>
            <w:tcW w:w="1079" w:type="dxa"/>
            <w:tcBorders>
              <w:top w:val="single" w:sz="4" w:space="0" w:color="auto"/>
              <w:left w:val="nil"/>
              <w:bottom w:val="single" w:sz="4" w:space="0" w:color="auto"/>
              <w:right w:val="nil"/>
            </w:tcBorders>
            <w:vAlign w:val="center"/>
          </w:tcPr>
          <w:p w14:paraId="47A97D29" w14:textId="77777777" w:rsidR="00971958" w:rsidRPr="00751D6C" w:rsidRDefault="00971958" w:rsidP="00501DED">
            <w:pPr>
              <w:spacing w:line="360" w:lineRule="auto"/>
              <w:jc w:val="center"/>
              <w:rPr>
                <w:rFonts w:cs="Arial"/>
                <w:b/>
                <w:color w:val="000000" w:themeColor="text1"/>
                <w:sz w:val="22"/>
                <w:szCs w:val="22"/>
                <w:lang w:val="en-US"/>
              </w:rPr>
            </w:pPr>
            <w:r w:rsidRPr="00751D6C">
              <w:rPr>
                <w:rFonts w:cs="Arial"/>
                <w:b/>
                <w:i/>
                <w:color w:val="000000" w:themeColor="text1"/>
                <w:sz w:val="22"/>
                <w:szCs w:val="22"/>
                <w:lang w:val="en-US"/>
              </w:rPr>
              <w:t>P</w:t>
            </w:r>
            <w:r w:rsidRPr="00751D6C">
              <w:rPr>
                <w:rFonts w:cs="Arial"/>
                <w:b/>
                <w:color w:val="000000" w:themeColor="text1"/>
                <w:sz w:val="22"/>
                <w:szCs w:val="22"/>
                <w:lang w:val="en-US"/>
              </w:rPr>
              <w:t>-value</w:t>
            </w:r>
          </w:p>
        </w:tc>
      </w:tr>
      <w:tr w:rsidR="00023D5B" w:rsidRPr="00751D6C" w14:paraId="41BF9C2B" w14:textId="77777777" w:rsidTr="00501DED">
        <w:tc>
          <w:tcPr>
            <w:tcW w:w="2694" w:type="dxa"/>
            <w:tcBorders>
              <w:top w:val="single" w:sz="4" w:space="0" w:color="auto"/>
              <w:left w:val="nil"/>
              <w:bottom w:val="nil"/>
              <w:right w:val="nil"/>
            </w:tcBorders>
          </w:tcPr>
          <w:p w14:paraId="6A255438" w14:textId="2C723BB8" w:rsidR="00023D5B" w:rsidRPr="00751D6C" w:rsidRDefault="00023D5B" w:rsidP="00023D5B">
            <w:pPr>
              <w:spacing w:line="360" w:lineRule="auto"/>
              <w:rPr>
                <w:rFonts w:cs="Arial"/>
                <w:color w:val="000000" w:themeColor="text1"/>
                <w:sz w:val="22"/>
                <w:szCs w:val="22"/>
                <w:vertAlign w:val="superscript"/>
                <w:lang w:val="en-US"/>
              </w:rPr>
            </w:pPr>
            <w:r>
              <w:rPr>
                <w:rFonts w:cs="Arial"/>
                <w:sz w:val="22"/>
                <w:szCs w:val="22"/>
                <w:lang w:val="en-US"/>
              </w:rPr>
              <w:t>Mean daily peak PaO</w:t>
            </w:r>
            <w:r>
              <w:rPr>
                <w:rFonts w:cs="Arial"/>
                <w:sz w:val="22"/>
                <w:szCs w:val="22"/>
                <w:vertAlign w:val="subscript"/>
                <w:lang w:val="en-US"/>
              </w:rPr>
              <w:t>2</w:t>
            </w:r>
            <w:r>
              <w:rPr>
                <w:rFonts w:cs="Arial"/>
                <w:sz w:val="22"/>
                <w:szCs w:val="22"/>
                <w:lang w:val="en-US"/>
              </w:rPr>
              <w:t xml:space="preserve">; </w:t>
            </w:r>
            <w:r>
              <w:rPr>
                <w:rFonts w:cs="Arial"/>
                <w:i/>
                <w:sz w:val="22"/>
                <w:szCs w:val="22"/>
                <w:lang w:val="en-US"/>
              </w:rPr>
              <w:t xml:space="preserve">mmHg </w:t>
            </w:r>
            <w:r>
              <w:rPr>
                <w:rFonts w:cs="Arial"/>
                <w:sz w:val="22"/>
                <w:szCs w:val="22"/>
                <w:vertAlign w:val="superscript"/>
                <w:lang w:val="en-US"/>
              </w:rPr>
              <w:t>b</w:t>
            </w:r>
          </w:p>
        </w:tc>
        <w:tc>
          <w:tcPr>
            <w:tcW w:w="1984" w:type="dxa"/>
            <w:tcBorders>
              <w:top w:val="single" w:sz="4" w:space="0" w:color="auto"/>
              <w:left w:val="nil"/>
              <w:bottom w:val="nil"/>
              <w:right w:val="nil"/>
            </w:tcBorders>
          </w:tcPr>
          <w:p w14:paraId="351CCEFF" w14:textId="18C06558" w:rsidR="00023D5B" w:rsidRPr="00751D6C" w:rsidRDefault="00023D5B" w:rsidP="00023D5B">
            <w:pPr>
              <w:spacing w:line="360" w:lineRule="auto"/>
              <w:jc w:val="center"/>
              <w:rPr>
                <w:rFonts w:cs="Arial"/>
                <w:color w:val="000000" w:themeColor="text1"/>
                <w:sz w:val="22"/>
                <w:szCs w:val="22"/>
                <w:lang w:val="en-US"/>
              </w:rPr>
            </w:pPr>
            <w:r w:rsidRPr="00751D6C">
              <w:rPr>
                <w:rFonts w:cs="Arial"/>
                <w:color w:val="000000" w:themeColor="text1"/>
                <w:sz w:val="22"/>
                <w:szCs w:val="22"/>
                <w:lang w:val="en-US"/>
              </w:rPr>
              <w:t>3.06 [1.43-6.70]</w:t>
            </w:r>
          </w:p>
        </w:tc>
        <w:tc>
          <w:tcPr>
            <w:tcW w:w="1134" w:type="dxa"/>
            <w:tcBorders>
              <w:top w:val="single" w:sz="4" w:space="0" w:color="auto"/>
              <w:left w:val="nil"/>
              <w:bottom w:val="nil"/>
              <w:right w:val="nil"/>
            </w:tcBorders>
          </w:tcPr>
          <w:p w14:paraId="2D3DE0A2" w14:textId="5EAE54AC" w:rsidR="00023D5B" w:rsidRPr="00751D6C" w:rsidRDefault="00023D5B" w:rsidP="00023D5B">
            <w:pPr>
              <w:spacing w:line="360" w:lineRule="auto"/>
              <w:jc w:val="center"/>
              <w:rPr>
                <w:rFonts w:cs="Arial"/>
                <w:color w:val="000000" w:themeColor="text1"/>
                <w:sz w:val="22"/>
                <w:szCs w:val="22"/>
                <w:lang w:val="en-US"/>
              </w:rPr>
            </w:pPr>
            <w:r w:rsidRPr="00751D6C">
              <w:rPr>
                <w:rFonts w:cs="Arial"/>
                <w:color w:val="000000" w:themeColor="text1"/>
                <w:sz w:val="22"/>
                <w:szCs w:val="22"/>
                <w:lang w:val="en-US"/>
              </w:rPr>
              <w:t>0.004</w:t>
            </w:r>
          </w:p>
        </w:tc>
        <w:tc>
          <w:tcPr>
            <w:tcW w:w="2175" w:type="dxa"/>
            <w:tcBorders>
              <w:top w:val="single" w:sz="4" w:space="0" w:color="auto"/>
              <w:left w:val="nil"/>
              <w:bottom w:val="nil"/>
              <w:right w:val="nil"/>
            </w:tcBorders>
          </w:tcPr>
          <w:p w14:paraId="39DF7215" w14:textId="77777777" w:rsidR="00023D5B" w:rsidRPr="00751D6C" w:rsidRDefault="00023D5B" w:rsidP="00023D5B">
            <w:pPr>
              <w:spacing w:line="360" w:lineRule="auto"/>
              <w:jc w:val="center"/>
              <w:rPr>
                <w:rFonts w:cs="Arial"/>
                <w:color w:val="000000" w:themeColor="text1"/>
                <w:sz w:val="22"/>
                <w:szCs w:val="22"/>
                <w:lang w:val="en-US"/>
              </w:rPr>
            </w:pPr>
            <w:r w:rsidRPr="00751D6C">
              <w:rPr>
                <w:rFonts w:cs="Arial"/>
                <w:color w:val="000000" w:themeColor="text1"/>
                <w:sz w:val="22"/>
                <w:szCs w:val="22"/>
                <w:lang w:val="en-US"/>
              </w:rPr>
              <w:t>2.63 [1.08-6.56]</w:t>
            </w:r>
          </w:p>
        </w:tc>
        <w:tc>
          <w:tcPr>
            <w:tcW w:w="1079" w:type="dxa"/>
            <w:tcBorders>
              <w:top w:val="single" w:sz="4" w:space="0" w:color="auto"/>
              <w:left w:val="nil"/>
              <w:bottom w:val="nil"/>
              <w:right w:val="nil"/>
            </w:tcBorders>
          </w:tcPr>
          <w:p w14:paraId="4C285131" w14:textId="77777777" w:rsidR="00023D5B" w:rsidRPr="00751D6C" w:rsidRDefault="00023D5B" w:rsidP="00023D5B">
            <w:pPr>
              <w:spacing w:line="360" w:lineRule="auto"/>
              <w:jc w:val="center"/>
              <w:rPr>
                <w:rFonts w:cs="Arial"/>
                <w:color w:val="000000" w:themeColor="text1"/>
                <w:sz w:val="22"/>
                <w:szCs w:val="22"/>
                <w:lang w:val="en-US"/>
              </w:rPr>
            </w:pPr>
            <w:r w:rsidRPr="00751D6C">
              <w:rPr>
                <w:rFonts w:cs="Arial"/>
                <w:color w:val="000000" w:themeColor="text1"/>
                <w:sz w:val="22"/>
                <w:szCs w:val="22"/>
                <w:lang w:val="en-US"/>
              </w:rPr>
              <w:t>0.03</w:t>
            </w:r>
          </w:p>
        </w:tc>
      </w:tr>
      <w:tr w:rsidR="00023D5B" w:rsidRPr="00751D6C" w14:paraId="05F6012B" w14:textId="77777777" w:rsidTr="00501DED">
        <w:tc>
          <w:tcPr>
            <w:tcW w:w="2694" w:type="dxa"/>
            <w:tcBorders>
              <w:top w:val="nil"/>
              <w:left w:val="nil"/>
              <w:bottom w:val="nil"/>
              <w:right w:val="nil"/>
            </w:tcBorders>
          </w:tcPr>
          <w:p w14:paraId="6ED6EF84" w14:textId="5B87E67F" w:rsidR="00023D5B" w:rsidRPr="00751D6C" w:rsidRDefault="00023D5B" w:rsidP="00023D5B">
            <w:pPr>
              <w:spacing w:line="360" w:lineRule="auto"/>
              <w:rPr>
                <w:rFonts w:cs="Arial"/>
                <w:i/>
                <w:color w:val="000000" w:themeColor="text1"/>
                <w:sz w:val="22"/>
                <w:szCs w:val="22"/>
                <w:lang w:val="en-US"/>
              </w:rPr>
            </w:pPr>
            <w:r>
              <w:rPr>
                <w:rFonts w:cs="Arial"/>
                <w:sz w:val="22"/>
                <w:szCs w:val="22"/>
                <w:lang w:val="en-US"/>
              </w:rPr>
              <w:t>Absolute peak PaO</w:t>
            </w:r>
            <w:r w:rsidRPr="00475741">
              <w:rPr>
                <w:rFonts w:cs="Arial"/>
                <w:sz w:val="22"/>
                <w:szCs w:val="22"/>
                <w:vertAlign w:val="subscript"/>
                <w:lang w:val="en-US"/>
              </w:rPr>
              <w:t>2</w:t>
            </w:r>
            <w:r>
              <w:rPr>
                <w:rFonts w:cs="Arial"/>
                <w:sz w:val="22"/>
                <w:szCs w:val="22"/>
                <w:lang w:val="en-US"/>
              </w:rPr>
              <w:t xml:space="preserve">; </w:t>
            </w:r>
            <w:r>
              <w:rPr>
                <w:rFonts w:cs="Arial"/>
                <w:i/>
                <w:sz w:val="22"/>
                <w:szCs w:val="22"/>
                <w:lang w:val="en-US"/>
              </w:rPr>
              <w:t>mmHg</w:t>
            </w:r>
          </w:p>
        </w:tc>
        <w:tc>
          <w:tcPr>
            <w:tcW w:w="1984" w:type="dxa"/>
            <w:tcBorders>
              <w:top w:val="nil"/>
              <w:left w:val="nil"/>
              <w:bottom w:val="nil"/>
              <w:right w:val="nil"/>
            </w:tcBorders>
          </w:tcPr>
          <w:p w14:paraId="46AF893F" w14:textId="77777777" w:rsidR="00023D5B" w:rsidRPr="00751D6C" w:rsidRDefault="00023D5B" w:rsidP="00023D5B">
            <w:pPr>
              <w:spacing w:line="360" w:lineRule="auto"/>
              <w:jc w:val="center"/>
              <w:rPr>
                <w:rFonts w:cs="Arial"/>
                <w:color w:val="000000" w:themeColor="text1"/>
                <w:sz w:val="22"/>
                <w:szCs w:val="22"/>
                <w:lang w:val="en-US"/>
              </w:rPr>
            </w:pPr>
            <w:r w:rsidRPr="00751D6C">
              <w:rPr>
                <w:rFonts w:cs="Arial"/>
                <w:color w:val="000000" w:themeColor="text1"/>
                <w:sz w:val="22"/>
                <w:szCs w:val="22"/>
                <w:lang w:val="en-US"/>
              </w:rPr>
              <w:t>2.52 [1.30-4.97]</w:t>
            </w:r>
          </w:p>
        </w:tc>
        <w:tc>
          <w:tcPr>
            <w:tcW w:w="1134" w:type="dxa"/>
            <w:tcBorders>
              <w:top w:val="nil"/>
              <w:left w:val="nil"/>
              <w:bottom w:val="nil"/>
              <w:right w:val="nil"/>
            </w:tcBorders>
          </w:tcPr>
          <w:p w14:paraId="57311E1C" w14:textId="77777777" w:rsidR="00023D5B" w:rsidRPr="00751D6C" w:rsidRDefault="00023D5B" w:rsidP="00023D5B">
            <w:pPr>
              <w:spacing w:line="360" w:lineRule="auto"/>
              <w:jc w:val="center"/>
              <w:rPr>
                <w:rFonts w:cs="Arial"/>
                <w:color w:val="000000" w:themeColor="text1"/>
                <w:sz w:val="22"/>
                <w:szCs w:val="22"/>
                <w:lang w:val="en-US"/>
              </w:rPr>
            </w:pPr>
            <w:r w:rsidRPr="00751D6C">
              <w:rPr>
                <w:rFonts w:cs="Arial"/>
                <w:color w:val="000000" w:themeColor="text1"/>
                <w:sz w:val="22"/>
                <w:szCs w:val="22"/>
                <w:lang w:val="en-US"/>
              </w:rPr>
              <w:t>0.007</w:t>
            </w:r>
          </w:p>
        </w:tc>
        <w:tc>
          <w:tcPr>
            <w:tcW w:w="2175" w:type="dxa"/>
            <w:tcBorders>
              <w:top w:val="nil"/>
              <w:left w:val="nil"/>
              <w:bottom w:val="nil"/>
              <w:right w:val="nil"/>
            </w:tcBorders>
          </w:tcPr>
          <w:p w14:paraId="125D0B6A" w14:textId="77777777" w:rsidR="00023D5B" w:rsidRPr="00751D6C" w:rsidRDefault="00023D5B" w:rsidP="00023D5B">
            <w:pPr>
              <w:spacing w:line="360" w:lineRule="auto"/>
              <w:jc w:val="center"/>
              <w:rPr>
                <w:rFonts w:cs="Arial"/>
                <w:color w:val="000000" w:themeColor="text1"/>
                <w:sz w:val="22"/>
                <w:szCs w:val="22"/>
                <w:lang w:val="en-US"/>
              </w:rPr>
            </w:pPr>
            <w:r w:rsidRPr="00751D6C">
              <w:rPr>
                <w:rFonts w:cs="Arial"/>
                <w:color w:val="000000" w:themeColor="text1"/>
                <w:sz w:val="22"/>
                <w:szCs w:val="22"/>
                <w:lang w:val="en-US"/>
              </w:rPr>
              <w:t>2.46 [1.04-4.94]</w:t>
            </w:r>
          </w:p>
        </w:tc>
        <w:tc>
          <w:tcPr>
            <w:tcW w:w="1079" w:type="dxa"/>
            <w:tcBorders>
              <w:top w:val="nil"/>
              <w:left w:val="nil"/>
              <w:bottom w:val="nil"/>
              <w:right w:val="nil"/>
            </w:tcBorders>
          </w:tcPr>
          <w:p w14:paraId="168BA2EC" w14:textId="77777777" w:rsidR="00023D5B" w:rsidRPr="00751D6C" w:rsidRDefault="00023D5B" w:rsidP="00023D5B">
            <w:pPr>
              <w:spacing w:line="360" w:lineRule="auto"/>
              <w:jc w:val="center"/>
              <w:rPr>
                <w:rFonts w:cs="Arial"/>
                <w:color w:val="000000" w:themeColor="text1"/>
                <w:sz w:val="22"/>
                <w:szCs w:val="22"/>
                <w:lang w:val="en-US"/>
              </w:rPr>
            </w:pPr>
            <w:r w:rsidRPr="00751D6C">
              <w:rPr>
                <w:rFonts w:cs="Arial"/>
                <w:color w:val="000000" w:themeColor="text1"/>
                <w:sz w:val="22"/>
                <w:szCs w:val="22"/>
                <w:lang w:val="en-US"/>
              </w:rPr>
              <w:t>0.04</w:t>
            </w:r>
          </w:p>
        </w:tc>
      </w:tr>
      <w:tr w:rsidR="00023D5B" w:rsidRPr="00751D6C" w14:paraId="29C0CDC7" w14:textId="77777777" w:rsidTr="00501DED">
        <w:tc>
          <w:tcPr>
            <w:tcW w:w="2694" w:type="dxa"/>
            <w:tcBorders>
              <w:top w:val="nil"/>
              <w:left w:val="nil"/>
              <w:bottom w:val="nil"/>
              <w:right w:val="nil"/>
            </w:tcBorders>
          </w:tcPr>
          <w:p w14:paraId="49978265" w14:textId="41CFD8C2" w:rsidR="00023D5B" w:rsidRPr="00751D6C" w:rsidRDefault="00023D5B" w:rsidP="00023D5B">
            <w:pPr>
              <w:spacing w:line="360" w:lineRule="auto"/>
              <w:rPr>
                <w:rFonts w:cs="Arial"/>
                <w:color w:val="000000" w:themeColor="text1"/>
                <w:sz w:val="22"/>
                <w:szCs w:val="22"/>
                <w:lang w:val="en-US"/>
              </w:rPr>
            </w:pPr>
            <w:r>
              <w:rPr>
                <w:rFonts w:cs="Arial"/>
                <w:sz w:val="22"/>
                <w:szCs w:val="22"/>
                <w:lang w:val="en-US"/>
              </w:rPr>
              <w:t>PaO</w:t>
            </w:r>
            <w:r w:rsidRPr="00475741">
              <w:rPr>
                <w:rFonts w:cs="Arial"/>
                <w:sz w:val="22"/>
                <w:szCs w:val="22"/>
                <w:vertAlign w:val="subscript"/>
                <w:lang w:val="en-US"/>
              </w:rPr>
              <w:t>2</w:t>
            </w:r>
            <w:r>
              <w:rPr>
                <w:rFonts w:cs="Arial"/>
                <w:sz w:val="22"/>
                <w:szCs w:val="22"/>
                <w:lang w:val="en-US"/>
              </w:rPr>
              <w:t xml:space="preserve"> range; </w:t>
            </w:r>
            <w:r w:rsidRPr="00CF6520">
              <w:rPr>
                <w:rFonts w:cs="Arial"/>
                <w:i/>
                <w:sz w:val="22"/>
                <w:szCs w:val="22"/>
                <w:lang w:val="en-US"/>
              </w:rPr>
              <w:t>n (%)</w:t>
            </w:r>
          </w:p>
        </w:tc>
        <w:tc>
          <w:tcPr>
            <w:tcW w:w="1984" w:type="dxa"/>
            <w:tcBorders>
              <w:top w:val="nil"/>
              <w:left w:val="nil"/>
              <w:bottom w:val="nil"/>
              <w:right w:val="nil"/>
            </w:tcBorders>
          </w:tcPr>
          <w:p w14:paraId="54724A3C" w14:textId="77777777" w:rsidR="00023D5B" w:rsidRPr="00751D6C" w:rsidRDefault="00023D5B" w:rsidP="00023D5B">
            <w:pPr>
              <w:spacing w:line="360" w:lineRule="auto"/>
              <w:jc w:val="center"/>
              <w:rPr>
                <w:rFonts w:cs="Arial"/>
                <w:color w:val="000000" w:themeColor="text1"/>
                <w:sz w:val="22"/>
                <w:szCs w:val="22"/>
                <w:lang w:val="en-US"/>
              </w:rPr>
            </w:pPr>
          </w:p>
        </w:tc>
        <w:tc>
          <w:tcPr>
            <w:tcW w:w="1134" w:type="dxa"/>
            <w:tcBorders>
              <w:top w:val="nil"/>
              <w:left w:val="nil"/>
              <w:bottom w:val="nil"/>
              <w:right w:val="nil"/>
            </w:tcBorders>
          </w:tcPr>
          <w:p w14:paraId="3F96CF11" w14:textId="77777777" w:rsidR="00023D5B" w:rsidRPr="00751D6C" w:rsidRDefault="00023D5B" w:rsidP="00023D5B">
            <w:pPr>
              <w:spacing w:line="360" w:lineRule="auto"/>
              <w:jc w:val="center"/>
              <w:rPr>
                <w:rFonts w:cs="Arial"/>
                <w:color w:val="000000" w:themeColor="text1"/>
                <w:sz w:val="22"/>
                <w:szCs w:val="22"/>
                <w:lang w:val="en-US"/>
              </w:rPr>
            </w:pPr>
          </w:p>
        </w:tc>
        <w:tc>
          <w:tcPr>
            <w:tcW w:w="2175" w:type="dxa"/>
            <w:tcBorders>
              <w:top w:val="nil"/>
              <w:left w:val="nil"/>
              <w:bottom w:val="nil"/>
              <w:right w:val="nil"/>
            </w:tcBorders>
          </w:tcPr>
          <w:p w14:paraId="17928EE7" w14:textId="77777777" w:rsidR="00023D5B" w:rsidRPr="00751D6C" w:rsidRDefault="00023D5B" w:rsidP="00023D5B">
            <w:pPr>
              <w:spacing w:line="360" w:lineRule="auto"/>
              <w:jc w:val="center"/>
              <w:rPr>
                <w:rFonts w:cs="Arial"/>
                <w:color w:val="000000" w:themeColor="text1"/>
                <w:sz w:val="22"/>
                <w:szCs w:val="22"/>
                <w:lang w:val="en-US"/>
              </w:rPr>
            </w:pPr>
          </w:p>
        </w:tc>
        <w:tc>
          <w:tcPr>
            <w:tcW w:w="1079" w:type="dxa"/>
            <w:tcBorders>
              <w:top w:val="nil"/>
              <w:left w:val="nil"/>
              <w:bottom w:val="nil"/>
              <w:right w:val="nil"/>
            </w:tcBorders>
          </w:tcPr>
          <w:p w14:paraId="6C80F195" w14:textId="77777777" w:rsidR="00023D5B" w:rsidRPr="00751D6C" w:rsidRDefault="00023D5B" w:rsidP="00023D5B">
            <w:pPr>
              <w:spacing w:line="360" w:lineRule="auto"/>
              <w:jc w:val="center"/>
              <w:rPr>
                <w:rFonts w:cs="Arial"/>
                <w:b/>
                <w:color w:val="000000" w:themeColor="text1"/>
                <w:sz w:val="22"/>
                <w:szCs w:val="22"/>
                <w:lang w:val="en-US"/>
              </w:rPr>
            </w:pPr>
          </w:p>
        </w:tc>
      </w:tr>
      <w:tr w:rsidR="00023D5B" w:rsidRPr="00751D6C" w14:paraId="588BB70B" w14:textId="77777777" w:rsidTr="00501DED">
        <w:tc>
          <w:tcPr>
            <w:tcW w:w="2694" w:type="dxa"/>
            <w:tcBorders>
              <w:top w:val="nil"/>
              <w:left w:val="nil"/>
              <w:bottom w:val="nil"/>
              <w:right w:val="nil"/>
            </w:tcBorders>
          </w:tcPr>
          <w:p w14:paraId="64A30D74" w14:textId="5DBB54CE" w:rsidR="00023D5B" w:rsidRPr="00751D6C" w:rsidRDefault="00023D5B" w:rsidP="00023D5B">
            <w:pPr>
              <w:spacing w:line="360" w:lineRule="auto"/>
              <w:rPr>
                <w:rFonts w:cs="Arial"/>
                <w:color w:val="000000" w:themeColor="text1"/>
                <w:sz w:val="22"/>
                <w:szCs w:val="22"/>
                <w:lang w:val="en-US"/>
              </w:rPr>
            </w:pPr>
            <w:r>
              <w:rPr>
                <w:rFonts w:cs="Arial"/>
                <w:sz w:val="22"/>
                <w:szCs w:val="22"/>
                <w:lang w:val="en-US"/>
              </w:rPr>
              <w:t xml:space="preserve">  200 mmHg</w:t>
            </w:r>
          </w:p>
        </w:tc>
        <w:tc>
          <w:tcPr>
            <w:tcW w:w="1984" w:type="dxa"/>
            <w:tcBorders>
              <w:top w:val="nil"/>
              <w:left w:val="nil"/>
              <w:bottom w:val="nil"/>
              <w:right w:val="nil"/>
            </w:tcBorders>
          </w:tcPr>
          <w:p w14:paraId="5E4803E4" w14:textId="77777777" w:rsidR="00023D5B" w:rsidRPr="00751D6C" w:rsidRDefault="00023D5B" w:rsidP="00023D5B">
            <w:pPr>
              <w:spacing w:line="360" w:lineRule="auto"/>
              <w:jc w:val="center"/>
              <w:rPr>
                <w:rFonts w:cs="Arial"/>
                <w:color w:val="000000" w:themeColor="text1"/>
                <w:sz w:val="22"/>
                <w:szCs w:val="22"/>
                <w:lang w:val="en-US"/>
              </w:rPr>
            </w:pPr>
            <w:r w:rsidRPr="00751D6C">
              <w:rPr>
                <w:rFonts w:cs="Arial"/>
                <w:color w:val="000000" w:themeColor="text1"/>
                <w:sz w:val="22"/>
                <w:szCs w:val="22"/>
                <w:lang w:val="en-US"/>
              </w:rPr>
              <w:t>1 (reference)</w:t>
            </w:r>
          </w:p>
        </w:tc>
        <w:tc>
          <w:tcPr>
            <w:tcW w:w="1134" w:type="dxa"/>
            <w:tcBorders>
              <w:top w:val="nil"/>
              <w:left w:val="nil"/>
              <w:bottom w:val="nil"/>
              <w:right w:val="nil"/>
            </w:tcBorders>
          </w:tcPr>
          <w:p w14:paraId="0BCA1920" w14:textId="77777777" w:rsidR="00023D5B" w:rsidRPr="00751D6C" w:rsidRDefault="00023D5B" w:rsidP="00023D5B">
            <w:pPr>
              <w:spacing w:line="360" w:lineRule="auto"/>
              <w:jc w:val="center"/>
              <w:rPr>
                <w:rFonts w:cs="Arial"/>
                <w:color w:val="000000" w:themeColor="text1"/>
                <w:sz w:val="22"/>
                <w:szCs w:val="22"/>
                <w:lang w:val="en-US"/>
              </w:rPr>
            </w:pPr>
            <w:r w:rsidRPr="00751D6C">
              <w:rPr>
                <w:rFonts w:cs="Arial"/>
                <w:color w:val="000000" w:themeColor="text1"/>
                <w:sz w:val="22"/>
                <w:szCs w:val="22"/>
                <w:lang w:val="en-US"/>
              </w:rPr>
              <w:t>-</w:t>
            </w:r>
          </w:p>
        </w:tc>
        <w:tc>
          <w:tcPr>
            <w:tcW w:w="2175" w:type="dxa"/>
            <w:tcBorders>
              <w:top w:val="nil"/>
              <w:left w:val="nil"/>
              <w:bottom w:val="nil"/>
              <w:right w:val="nil"/>
            </w:tcBorders>
          </w:tcPr>
          <w:p w14:paraId="63328530" w14:textId="77777777" w:rsidR="00023D5B" w:rsidRPr="00751D6C" w:rsidRDefault="00023D5B" w:rsidP="00023D5B">
            <w:pPr>
              <w:spacing w:line="360" w:lineRule="auto"/>
              <w:jc w:val="center"/>
              <w:rPr>
                <w:rFonts w:cs="Arial"/>
                <w:color w:val="000000" w:themeColor="text1"/>
                <w:sz w:val="22"/>
                <w:szCs w:val="22"/>
                <w:lang w:val="en-US"/>
              </w:rPr>
            </w:pPr>
            <w:r w:rsidRPr="00751D6C">
              <w:rPr>
                <w:rFonts w:cs="Arial"/>
                <w:color w:val="000000" w:themeColor="text1"/>
                <w:sz w:val="22"/>
                <w:szCs w:val="22"/>
                <w:lang w:val="en-US"/>
              </w:rPr>
              <w:t>1 (reference)</w:t>
            </w:r>
          </w:p>
        </w:tc>
        <w:tc>
          <w:tcPr>
            <w:tcW w:w="1079" w:type="dxa"/>
            <w:tcBorders>
              <w:top w:val="nil"/>
              <w:left w:val="nil"/>
              <w:bottom w:val="nil"/>
              <w:right w:val="nil"/>
            </w:tcBorders>
          </w:tcPr>
          <w:p w14:paraId="242C74DB" w14:textId="77777777" w:rsidR="00023D5B" w:rsidRPr="00751D6C" w:rsidRDefault="00023D5B" w:rsidP="00023D5B">
            <w:pPr>
              <w:spacing w:line="360" w:lineRule="auto"/>
              <w:jc w:val="center"/>
              <w:rPr>
                <w:rFonts w:cs="Arial"/>
                <w:b/>
                <w:color w:val="000000" w:themeColor="text1"/>
                <w:sz w:val="22"/>
                <w:szCs w:val="22"/>
                <w:lang w:val="en-US"/>
              </w:rPr>
            </w:pPr>
            <w:r w:rsidRPr="00751D6C">
              <w:rPr>
                <w:rFonts w:cs="Arial"/>
                <w:b/>
                <w:color w:val="000000" w:themeColor="text1"/>
                <w:sz w:val="22"/>
                <w:szCs w:val="22"/>
                <w:lang w:val="en-US"/>
              </w:rPr>
              <w:t>-</w:t>
            </w:r>
          </w:p>
        </w:tc>
      </w:tr>
      <w:tr w:rsidR="00023D5B" w:rsidRPr="00751D6C" w14:paraId="6F143370" w14:textId="77777777" w:rsidTr="00501DED">
        <w:tc>
          <w:tcPr>
            <w:tcW w:w="2694" w:type="dxa"/>
            <w:tcBorders>
              <w:top w:val="nil"/>
              <w:left w:val="nil"/>
              <w:bottom w:val="nil"/>
              <w:right w:val="nil"/>
            </w:tcBorders>
          </w:tcPr>
          <w:p w14:paraId="02FA17C3" w14:textId="3F87E4AA" w:rsidR="00023D5B" w:rsidRPr="00751D6C" w:rsidRDefault="00023D5B" w:rsidP="00023D5B">
            <w:pPr>
              <w:spacing w:line="360" w:lineRule="auto"/>
              <w:rPr>
                <w:rFonts w:cs="Arial"/>
                <w:color w:val="000000" w:themeColor="text1"/>
                <w:sz w:val="22"/>
                <w:szCs w:val="22"/>
                <w:lang w:val="en-US"/>
              </w:rPr>
            </w:pPr>
            <w:r>
              <w:rPr>
                <w:rFonts w:cs="Arial"/>
                <w:sz w:val="22"/>
                <w:szCs w:val="22"/>
                <w:lang w:val="en-US"/>
              </w:rPr>
              <w:t xml:space="preserve">  200 </w:t>
            </w:r>
            <w:bookmarkStart w:id="0" w:name="_Hlk63698333"/>
            <w:r w:rsidRPr="009F0E88">
              <w:rPr>
                <w:rFonts w:cs="Arial"/>
                <w:sz w:val="22"/>
                <w:szCs w:val="22"/>
                <w:lang w:val="en-US"/>
              </w:rPr>
              <w:t>–</w:t>
            </w:r>
            <w:bookmarkEnd w:id="0"/>
            <w:r w:rsidRPr="009F0E88">
              <w:rPr>
                <w:rFonts w:cs="Arial"/>
                <w:sz w:val="22"/>
                <w:szCs w:val="22"/>
                <w:lang w:val="en-US"/>
              </w:rPr>
              <w:t xml:space="preserve"> 299</w:t>
            </w:r>
            <w:r>
              <w:rPr>
                <w:rFonts w:cs="Arial"/>
                <w:sz w:val="22"/>
                <w:szCs w:val="22"/>
                <w:lang w:val="en-US"/>
              </w:rPr>
              <w:t xml:space="preserve"> mmHg</w:t>
            </w:r>
          </w:p>
        </w:tc>
        <w:tc>
          <w:tcPr>
            <w:tcW w:w="1984" w:type="dxa"/>
            <w:tcBorders>
              <w:top w:val="nil"/>
              <w:left w:val="nil"/>
              <w:bottom w:val="nil"/>
              <w:right w:val="nil"/>
            </w:tcBorders>
          </w:tcPr>
          <w:p w14:paraId="4F6E437E" w14:textId="0F937912" w:rsidR="00023D5B" w:rsidRPr="00751D6C" w:rsidRDefault="00023D5B" w:rsidP="00023D5B">
            <w:pPr>
              <w:spacing w:line="360" w:lineRule="auto"/>
              <w:jc w:val="center"/>
              <w:rPr>
                <w:rFonts w:cs="Arial"/>
                <w:color w:val="000000" w:themeColor="text1"/>
                <w:sz w:val="22"/>
                <w:szCs w:val="22"/>
                <w:lang w:val="en-US"/>
              </w:rPr>
            </w:pPr>
            <w:r w:rsidRPr="00751D6C">
              <w:rPr>
                <w:rFonts w:cs="Arial"/>
                <w:color w:val="000000" w:themeColor="text1"/>
                <w:sz w:val="22"/>
                <w:szCs w:val="22"/>
                <w:lang w:val="en-US"/>
              </w:rPr>
              <w:t>1.86 [1.15-3.02]</w:t>
            </w:r>
          </w:p>
        </w:tc>
        <w:tc>
          <w:tcPr>
            <w:tcW w:w="1134" w:type="dxa"/>
            <w:tcBorders>
              <w:top w:val="nil"/>
              <w:left w:val="nil"/>
              <w:bottom w:val="nil"/>
              <w:right w:val="nil"/>
            </w:tcBorders>
          </w:tcPr>
          <w:p w14:paraId="542026B2" w14:textId="775641C3" w:rsidR="00023D5B" w:rsidRPr="00751D6C" w:rsidRDefault="00023D5B" w:rsidP="00023D5B">
            <w:pPr>
              <w:spacing w:line="360" w:lineRule="auto"/>
              <w:jc w:val="center"/>
              <w:rPr>
                <w:rFonts w:cs="Arial"/>
                <w:color w:val="000000" w:themeColor="text1"/>
                <w:sz w:val="22"/>
                <w:szCs w:val="22"/>
                <w:lang w:val="en-US"/>
              </w:rPr>
            </w:pPr>
            <w:r w:rsidRPr="00751D6C">
              <w:rPr>
                <w:rFonts w:cs="Arial"/>
                <w:color w:val="000000" w:themeColor="text1"/>
                <w:sz w:val="22"/>
                <w:szCs w:val="22"/>
                <w:lang w:val="en-US"/>
              </w:rPr>
              <w:t>0.012</w:t>
            </w:r>
          </w:p>
        </w:tc>
        <w:tc>
          <w:tcPr>
            <w:tcW w:w="2175" w:type="dxa"/>
            <w:tcBorders>
              <w:top w:val="nil"/>
              <w:left w:val="nil"/>
              <w:bottom w:val="nil"/>
              <w:right w:val="nil"/>
            </w:tcBorders>
          </w:tcPr>
          <w:p w14:paraId="7079570C" w14:textId="77777777" w:rsidR="00023D5B" w:rsidRPr="00751D6C" w:rsidRDefault="00023D5B" w:rsidP="00023D5B">
            <w:pPr>
              <w:spacing w:line="360" w:lineRule="auto"/>
              <w:jc w:val="center"/>
              <w:rPr>
                <w:rFonts w:cs="Arial"/>
                <w:color w:val="000000" w:themeColor="text1"/>
                <w:sz w:val="22"/>
                <w:szCs w:val="22"/>
                <w:lang w:val="en-US"/>
              </w:rPr>
            </w:pPr>
            <w:r w:rsidRPr="00751D6C">
              <w:rPr>
                <w:rFonts w:cs="Arial"/>
                <w:color w:val="000000" w:themeColor="text1"/>
                <w:sz w:val="22"/>
                <w:szCs w:val="22"/>
                <w:lang w:val="en-US"/>
              </w:rPr>
              <w:t>1.76 [1.02-3.06]</w:t>
            </w:r>
          </w:p>
        </w:tc>
        <w:tc>
          <w:tcPr>
            <w:tcW w:w="1079" w:type="dxa"/>
            <w:tcBorders>
              <w:top w:val="nil"/>
              <w:left w:val="nil"/>
              <w:bottom w:val="nil"/>
              <w:right w:val="nil"/>
            </w:tcBorders>
          </w:tcPr>
          <w:p w14:paraId="7A0D6623" w14:textId="77777777" w:rsidR="00023D5B" w:rsidRPr="00751D6C" w:rsidRDefault="00023D5B" w:rsidP="00023D5B">
            <w:pPr>
              <w:spacing w:line="360" w:lineRule="auto"/>
              <w:jc w:val="center"/>
              <w:rPr>
                <w:rFonts w:cs="Arial"/>
                <w:color w:val="000000" w:themeColor="text1"/>
                <w:sz w:val="22"/>
                <w:szCs w:val="22"/>
                <w:lang w:val="en-US"/>
              </w:rPr>
            </w:pPr>
            <w:r w:rsidRPr="00751D6C">
              <w:rPr>
                <w:rFonts w:cs="Arial"/>
                <w:color w:val="000000" w:themeColor="text1"/>
                <w:sz w:val="22"/>
                <w:szCs w:val="22"/>
                <w:lang w:val="en-US"/>
              </w:rPr>
              <w:t>0.04</w:t>
            </w:r>
          </w:p>
        </w:tc>
      </w:tr>
      <w:tr w:rsidR="00023D5B" w:rsidRPr="00751D6C" w14:paraId="1828B129" w14:textId="77777777" w:rsidTr="00501DED">
        <w:tc>
          <w:tcPr>
            <w:tcW w:w="2694" w:type="dxa"/>
            <w:tcBorders>
              <w:top w:val="nil"/>
              <w:left w:val="nil"/>
              <w:bottom w:val="nil"/>
              <w:right w:val="nil"/>
            </w:tcBorders>
          </w:tcPr>
          <w:p w14:paraId="75065116" w14:textId="5B5C2293" w:rsidR="00023D5B" w:rsidRPr="00751D6C" w:rsidRDefault="00023D5B" w:rsidP="00023D5B">
            <w:pPr>
              <w:spacing w:line="360" w:lineRule="auto"/>
              <w:rPr>
                <w:rFonts w:cs="Arial"/>
                <w:color w:val="000000" w:themeColor="text1"/>
                <w:sz w:val="22"/>
                <w:szCs w:val="22"/>
                <w:lang w:val="en-US"/>
              </w:rPr>
            </w:pPr>
            <w:r>
              <w:rPr>
                <w:rFonts w:cs="Arial"/>
                <w:sz w:val="22"/>
                <w:szCs w:val="22"/>
                <w:lang w:val="en-US"/>
              </w:rPr>
              <w:t xml:space="preserve">  ≥300 mmHg</w:t>
            </w:r>
          </w:p>
        </w:tc>
        <w:tc>
          <w:tcPr>
            <w:tcW w:w="1984" w:type="dxa"/>
            <w:tcBorders>
              <w:top w:val="nil"/>
              <w:left w:val="nil"/>
              <w:bottom w:val="nil"/>
              <w:right w:val="nil"/>
            </w:tcBorders>
          </w:tcPr>
          <w:p w14:paraId="0E61AD82" w14:textId="60D99734" w:rsidR="00023D5B" w:rsidRPr="00751D6C" w:rsidRDefault="00023D5B" w:rsidP="00023D5B">
            <w:pPr>
              <w:spacing w:line="360" w:lineRule="auto"/>
              <w:jc w:val="center"/>
              <w:rPr>
                <w:rFonts w:cs="Arial"/>
                <w:color w:val="000000" w:themeColor="text1"/>
                <w:sz w:val="22"/>
                <w:szCs w:val="22"/>
                <w:lang w:val="en-US"/>
              </w:rPr>
            </w:pPr>
            <w:r w:rsidRPr="00751D6C">
              <w:rPr>
                <w:rFonts w:cs="Arial"/>
                <w:color w:val="000000" w:themeColor="text1"/>
                <w:sz w:val="22"/>
                <w:szCs w:val="22"/>
                <w:lang w:val="en-US"/>
              </w:rPr>
              <w:t>2.38 [1.11-5.15]</w:t>
            </w:r>
          </w:p>
        </w:tc>
        <w:tc>
          <w:tcPr>
            <w:tcW w:w="1134" w:type="dxa"/>
            <w:tcBorders>
              <w:top w:val="nil"/>
              <w:left w:val="nil"/>
              <w:bottom w:val="nil"/>
              <w:right w:val="nil"/>
            </w:tcBorders>
          </w:tcPr>
          <w:p w14:paraId="544A1916" w14:textId="0CA076BC" w:rsidR="00023D5B" w:rsidRPr="00751D6C" w:rsidRDefault="00023D5B" w:rsidP="00023D5B">
            <w:pPr>
              <w:spacing w:line="360" w:lineRule="auto"/>
              <w:jc w:val="center"/>
              <w:rPr>
                <w:rFonts w:cs="Arial"/>
                <w:color w:val="000000" w:themeColor="text1"/>
                <w:sz w:val="22"/>
                <w:szCs w:val="22"/>
                <w:lang w:val="en-US"/>
              </w:rPr>
            </w:pPr>
            <w:r w:rsidRPr="00751D6C">
              <w:rPr>
                <w:rFonts w:cs="Arial"/>
                <w:color w:val="000000" w:themeColor="text1"/>
                <w:sz w:val="22"/>
                <w:szCs w:val="22"/>
                <w:lang w:val="en-US"/>
              </w:rPr>
              <w:t>0.026</w:t>
            </w:r>
          </w:p>
        </w:tc>
        <w:tc>
          <w:tcPr>
            <w:tcW w:w="2175" w:type="dxa"/>
            <w:tcBorders>
              <w:top w:val="nil"/>
              <w:left w:val="nil"/>
              <w:bottom w:val="nil"/>
              <w:right w:val="nil"/>
            </w:tcBorders>
          </w:tcPr>
          <w:p w14:paraId="39B1380F" w14:textId="77777777" w:rsidR="00023D5B" w:rsidRPr="00751D6C" w:rsidRDefault="00023D5B" w:rsidP="00023D5B">
            <w:pPr>
              <w:spacing w:line="360" w:lineRule="auto"/>
              <w:jc w:val="center"/>
              <w:rPr>
                <w:rFonts w:cs="Arial"/>
                <w:color w:val="000000" w:themeColor="text1"/>
                <w:sz w:val="22"/>
                <w:szCs w:val="22"/>
                <w:lang w:val="en-US"/>
              </w:rPr>
            </w:pPr>
            <w:r w:rsidRPr="00751D6C">
              <w:rPr>
                <w:rFonts w:cs="Arial"/>
                <w:color w:val="000000" w:themeColor="text1"/>
                <w:sz w:val="22"/>
                <w:szCs w:val="22"/>
                <w:lang w:val="en-US"/>
              </w:rPr>
              <w:t>2.61 [1.01-6.96]</w:t>
            </w:r>
          </w:p>
        </w:tc>
        <w:tc>
          <w:tcPr>
            <w:tcW w:w="1079" w:type="dxa"/>
            <w:tcBorders>
              <w:top w:val="nil"/>
              <w:left w:val="nil"/>
              <w:bottom w:val="nil"/>
              <w:right w:val="nil"/>
            </w:tcBorders>
          </w:tcPr>
          <w:p w14:paraId="5EC073D6" w14:textId="77777777" w:rsidR="00023D5B" w:rsidRPr="00751D6C" w:rsidRDefault="00023D5B" w:rsidP="00023D5B">
            <w:pPr>
              <w:spacing w:line="360" w:lineRule="auto"/>
              <w:jc w:val="center"/>
              <w:rPr>
                <w:rFonts w:cs="Arial"/>
                <w:color w:val="000000" w:themeColor="text1"/>
                <w:sz w:val="22"/>
                <w:szCs w:val="22"/>
                <w:lang w:val="en-US"/>
              </w:rPr>
            </w:pPr>
            <w:r w:rsidRPr="00751D6C">
              <w:rPr>
                <w:rFonts w:cs="Arial"/>
                <w:color w:val="000000" w:themeColor="text1"/>
                <w:sz w:val="22"/>
                <w:szCs w:val="22"/>
                <w:lang w:val="en-US"/>
              </w:rPr>
              <w:t>0.05</w:t>
            </w:r>
          </w:p>
        </w:tc>
      </w:tr>
      <w:tr w:rsidR="00023D5B" w:rsidRPr="00751D6C" w14:paraId="005CE645" w14:textId="77777777" w:rsidTr="00501DED">
        <w:tc>
          <w:tcPr>
            <w:tcW w:w="2694" w:type="dxa"/>
            <w:tcBorders>
              <w:top w:val="nil"/>
              <w:left w:val="nil"/>
              <w:bottom w:val="single" w:sz="4" w:space="0" w:color="auto"/>
              <w:right w:val="nil"/>
            </w:tcBorders>
          </w:tcPr>
          <w:p w14:paraId="6C213241" w14:textId="4B884AB3" w:rsidR="00023D5B" w:rsidRPr="00751D6C" w:rsidRDefault="00023D5B" w:rsidP="00023D5B">
            <w:pPr>
              <w:spacing w:line="360" w:lineRule="auto"/>
              <w:rPr>
                <w:rFonts w:cs="Arial"/>
                <w:color w:val="000000" w:themeColor="text1"/>
                <w:sz w:val="22"/>
                <w:szCs w:val="22"/>
                <w:lang w:val="en-US"/>
              </w:rPr>
            </w:pPr>
            <w:r>
              <w:rPr>
                <w:rFonts w:cs="Arial"/>
                <w:sz w:val="22"/>
                <w:szCs w:val="22"/>
                <w:lang w:val="en-US"/>
              </w:rPr>
              <w:t>Mean PaO</w:t>
            </w:r>
            <w:r>
              <w:rPr>
                <w:rFonts w:cs="Arial"/>
                <w:sz w:val="22"/>
                <w:szCs w:val="22"/>
                <w:vertAlign w:val="subscript"/>
                <w:lang w:val="en-US"/>
              </w:rPr>
              <w:t>2</w:t>
            </w:r>
            <w:r>
              <w:rPr>
                <w:rFonts w:cs="Arial"/>
                <w:sz w:val="22"/>
                <w:szCs w:val="22"/>
                <w:lang w:val="en-US"/>
              </w:rPr>
              <w:t xml:space="preserve"> over 48 h; </w:t>
            </w:r>
            <w:r>
              <w:rPr>
                <w:rFonts w:cs="Arial"/>
                <w:i/>
                <w:sz w:val="22"/>
                <w:szCs w:val="22"/>
                <w:lang w:val="en-US"/>
              </w:rPr>
              <w:t xml:space="preserve">mmHg </w:t>
            </w:r>
            <w:r>
              <w:rPr>
                <w:rFonts w:cs="Arial"/>
                <w:sz w:val="22"/>
                <w:szCs w:val="22"/>
                <w:vertAlign w:val="superscript"/>
                <w:lang w:val="en-US"/>
              </w:rPr>
              <w:t>c</w:t>
            </w:r>
          </w:p>
        </w:tc>
        <w:tc>
          <w:tcPr>
            <w:tcW w:w="1984" w:type="dxa"/>
            <w:tcBorders>
              <w:top w:val="nil"/>
              <w:left w:val="nil"/>
              <w:bottom w:val="single" w:sz="4" w:space="0" w:color="auto"/>
              <w:right w:val="nil"/>
            </w:tcBorders>
          </w:tcPr>
          <w:p w14:paraId="5091E8F0" w14:textId="77777777" w:rsidR="00023D5B" w:rsidRPr="00751D6C" w:rsidRDefault="00023D5B" w:rsidP="00023D5B">
            <w:pPr>
              <w:spacing w:line="360" w:lineRule="auto"/>
              <w:jc w:val="center"/>
              <w:rPr>
                <w:rFonts w:cs="Arial"/>
                <w:color w:val="000000" w:themeColor="text1"/>
                <w:sz w:val="22"/>
                <w:szCs w:val="22"/>
                <w:lang w:val="en-US"/>
              </w:rPr>
            </w:pPr>
            <w:r w:rsidRPr="00751D6C">
              <w:rPr>
                <w:rFonts w:cs="Arial"/>
                <w:color w:val="000000" w:themeColor="text1"/>
                <w:sz w:val="22"/>
                <w:szCs w:val="22"/>
                <w:lang w:val="en-US"/>
              </w:rPr>
              <w:t>3.16 [1.34-7.61]</w:t>
            </w:r>
          </w:p>
        </w:tc>
        <w:tc>
          <w:tcPr>
            <w:tcW w:w="1134" w:type="dxa"/>
            <w:tcBorders>
              <w:top w:val="nil"/>
              <w:left w:val="nil"/>
              <w:bottom w:val="single" w:sz="4" w:space="0" w:color="auto"/>
              <w:right w:val="nil"/>
            </w:tcBorders>
          </w:tcPr>
          <w:p w14:paraId="08A22CD0" w14:textId="77777777" w:rsidR="00023D5B" w:rsidRPr="00751D6C" w:rsidRDefault="00023D5B" w:rsidP="00023D5B">
            <w:pPr>
              <w:spacing w:line="360" w:lineRule="auto"/>
              <w:jc w:val="center"/>
              <w:rPr>
                <w:rFonts w:cs="Arial"/>
                <w:color w:val="000000" w:themeColor="text1"/>
                <w:sz w:val="22"/>
                <w:szCs w:val="22"/>
                <w:lang w:val="en-US"/>
              </w:rPr>
            </w:pPr>
            <w:r w:rsidRPr="00751D6C">
              <w:rPr>
                <w:rFonts w:cs="Arial"/>
                <w:color w:val="000000" w:themeColor="text1"/>
                <w:sz w:val="22"/>
                <w:szCs w:val="22"/>
                <w:lang w:val="en-US"/>
              </w:rPr>
              <w:t>0.009</w:t>
            </w:r>
          </w:p>
        </w:tc>
        <w:tc>
          <w:tcPr>
            <w:tcW w:w="2175" w:type="dxa"/>
            <w:tcBorders>
              <w:top w:val="nil"/>
              <w:left w:val="nil"/>
              <w:bottom w:val="single" w:sz="4" w:space="0" w:color="auto"/>
              <w:right w:val="nil"/>
            </w:tcBorders>
          </w:tcPr>
          <w:p w14:paraId="509DD112" w14:textId="77777777" w:rsidR="00023D5B" w:rsidRPr="00751D6C" w:rsidRDefault="00023D5B" w:rsidP="00023D5B">
            <w:pPr>
              <w:spacing w:line="360" w:lineRule="auto"/>
              <w:jc w:val="center"/>
              <w:rPr>
                <w:rFonts w:cs="Arial"/>
                <w:color w:val="000000" w:themeColor="text1"/>
                <w:sz w:val="22"/>
                <w:szCs w:val="22"/>
                <w:lang w:val="en-US"/>
              </w:rPr>
            </w:pPr>
            <w:r w:rsidRPr="00751D6C">
              <w:rPr>
                <w:rFonts w:cs="Arial"/>
                <w:color w:val="000000" w:themeColor="text1"/>
                <w:sz w:val="22"/>
                <w:szCs w:val="22"/>
                <w:lang w:val="en-US"/>
              </w:rPr>
              <w:t>3.03 [1.09-8.69]</w:t>
            </w:r>
          </w:p>
        </w:tc>
        <w:tc>
          <w:tcPr>
            <w:tcW w:w="1079" w:type="dxa"/>
            <w:tcBorders>
              <w:top w:val="nil"/>
              <w:left w:val="nil"/>
              <w:bottom w:val="single" w:sz="4" w:space="0" w:color="auto"/>
              <w:right w:val="nil"/>
            </w:tcBorders>
          </w:tcPr>
          <w:p w14:paraId="516A9181" w14:textId="77777777" w:rsidR="00023D5B" w:rsidRPr="00751D6C" w:rsidRDefault="00023D5B" w:rsidP="00023D5B">
            <w:pPr>
              <w:spacing w:line="360" w:lineRule="auto"/>
              <w:jc w:val="center"/>
              <w:rPr>
                <w:rFonts w:cs="Arial"/>
                <w:color w:val="000000" w:themeColor="text1"/>
                <w:sz w:val="22"/>
                <w:szCs w:val="22"/>
                <w:lang w:val="en-US"/>
              </w:rPr>
            </w:pPr>
            <w:r w:rsidRPr="00751D6C">
              <w:rPr>
                <w:rFonts w:cs="Arial"/>
                <w:color w:val="000000" w:themeColor="text1"/>
                <w:sz w:val="22"/>
                <w:szCs w:val="22"/>
                <w:lang w:val="en-US"/>
              </w:rPr>
              <w:t>0.04</w:t>
            </w:r>
          </w:p>
        </w:tc>
      </w:tr>
    </w:tbl>
    <w:p w14:paraId="06FAA7D5" w14:textId="049291C5" w:rsidR="00971958" w:rsidRDefault="009956A2" w:rsidP="00971958">
      <w:pPr>
        <w:spacing w:line="360" w:lineRule="auto"/>
        <w:jc w:val="both"/>
        <w:rPr>
          <w:b/>
          <w:lang w:val="en-US"/>
        </w:rPr>
      </w:pPr>
      <w:r>
        <w:rPr>
          <w:b/>
          <w:lang w:val="en-US"/>
        </w:rPr>
        <w:t>Supplementary table</w:t>
      </w:r>
      <w:r w:rsidR="00023D5B">
        <w:rPr>
          <w:b/>
          <w:lang w:val="en-US"/>
        </w:rPr>
        <w:t>.</w:t>
      </w:r>
      <w:r w:rsidR="00971958" w:rsidRPr="00845120">
        <w:rPr>
          <w:b/>
          <w:lang w:val="en-US"/>
        </w:rPr>
        <w:t xml:space="preserve"> </w:t>
      </w:r>
      <w:r w:rsidR="00023D5B">
        <w:rPr>
          <w:b/>
          <w:lang w:val="en-US"/>
        </w:rPr>
        <w:t xml:space="preserve">The association between hyperoxia and </w:t>
      </w:r>
      <w:r w:rsidR="00023D5B" w:rsidRPr="00845120">
        <w:rPr>
          <w:b/>
          <w:lang w:val="en-US"/>
        </w:rPr>
        <w:t>28-day mortality</w:t>
      </w:r>
      <w:r w:rsidR="00023D5B" w:rsidRPr="00023D5B">
        <w:rPr>
          <w:b/>
          <w:lang w:val="en-US"/>
        </w:rPr>
        <w:t xml:space="preserve"> </w:t>
      </w:r>
      <w:r w:rsidR="00023D5B">
        <w:rPr>
          <w:b/>
          <w:lang w:val="en-US"/>
        </w:rPr>
        <w:t xml:space="preserve">after the exclusion of patients on </w:t>
      </w:r>
      <w:proofErr w:type="spellStart"/>
      <w:r w:rsidR="00023D5B">
        <w:rPr>
          <w:b/>
          <w:lang w:val="en-US"/>
        </w:rPr>
        <w:t>femoro</w:t>
      </w:r>
      <w:proofErr w:type="spellEnd"/>
      <w:r w:rsidR="00023D5B">
        <w:rPr>
          <w:b/>
          <w:lang w:val="en-US"/>
        </w:rPr>
        <w:t xml:space="preserve">-axillary ECMO support, before and after </w:t>
      </w:r>
      <w:r w:rsidR="00023D5B" w:rsidRPr="00845120">
        <w:rPr>
          <w:b/>
          <w:lang w:val="en-US"/>
        </w:rPr>
        <w:t>adjust</w:t>
      </w:r>
      <w:r w:rsidR="00023D5B">
        <w:rPr>
          <w:b/>
          <w:lang w:val="en-US"/>
        </w:rPr>
        <w:t>ment</w:t>
      </w:r>
      <w:r w:rsidR="00B637B7">
        <w:rPr>
          <w:b/>
          <w:lang w:val="en-US"/>
        </w:rPr>
        <w:t>.</w:t>
      </w:r>
    </w:p>
    <w:p w14:paraId="590543C9" w14:textId="77777777" w:rsidR="00971958" w:rsidRDefault="00971958" w:rsidP="00971958">
      <w:pPr>
        <w:jc w:val="both"/>
        <w:rPr>
          <w:b/>
          <w:sz w:val="20"/>
          <w:szCs w:val="20"/>
          <w:lang w:val="en-US"/>
        </w:rPr>
      </w:pPr>
    </w:p>
    <w:p w14:paraId="2E72E4AD" w14:textId="25890608" w:rsidR="00023D5B" w:rsidRPr="008002E7" w:rsidRDefault="00023D5B" w:rsidP="00023D5B">
      <w:pPr>
        <w:spacing w:line="360" w:lineRule="auto"/>
        <w:jc w:val="both"/>
        <w:rPr>
          <w:sz w:val="20"/>
          <w:szCs w:val="20"/>
          <w:lang w:val="en-US"/>
        </w:rPr>
      </w:pPr>
      <w:r w:rsidRPr="00116D77">
        <w:rPr>
          <w:bCs/>
          <w:sz w:val="20"/>
          <w:szCs w:val="20"/>
          <w:lang w:val="en-US"/>
        </w:rPr>
        <w:t>OR</w:t>
      </w:r>
      <w:r w:rsidRPr="00845120">
        <w:rPr>
          <w:b/>
          <w:sz w:val="20"/>
          <w:szCs w:val="20"/>
          <w:lang w:val="en-US"/>
        </w:rPr>
        <w:t>:</w:t>
      </w:r>
      <w:r>
        <w:rPr>
          <w:b/>
          <w:sz w:val="20"/>
          <w:szCs w:val="20"/>
          <w:lang w:val="en-US"/>
        </w:rPr>
        <w:t xml:space="preserve"> </w:t>
      </w:r>
      <w:r>
        <w:rPr>
          <w:sz w:val="20"/>
          <w:szCs w:val="20"/>
          <w:lang w:val="en-US"/>
        </w:rPr>
        <w:t xml:space="preserve">odds ratio. </w:t>
      </w:r>
      <w:r>
        <w:rPr>
          <w:sz w:val="20"/>
          <w:szCs w:val="20"/>
          <w:vertAlign w:val="superscript"/>
          <w:lang w:val="en-US"/>
        </w:rPr>
        <w:t>a</w:t>
      </w:r>
      <w:r>
        <w:rPr>
          <w:sz w:val="20"/>
          <w:szCs w:val="20"/>
          <w:lang w:val="en-US"/>
        </w:rPr>
        <w:t>: ORs were obtained from a multivariate logistic regression with adjustment for age, hypertension, the indication for extracorporeal life support, the arterial blood lactate level on admission, and the Simplified Acute Physiology Score II. The ORs for the mean daily peak PaO</w:t>
      </w:r>
      <w:r>
        <w:rPr>
          <w:sz w:val="20"/>
          <w:szCs w:val="20"/>
          <w:vertAlign w:val="subscript"/>
          <w:lang w:val="en-US"/>
        </w:rPr>
        <w:t>2</w:t>
      </w:r>
      <w:r>
        <w:rPr>
          <w:sz w:val="20"/>
          <w:szCs w:val="20"/>
          <w:lang w:val="en-US"/>
        </w:rPr>
        <w:t>, absolute peak PaO</w:t>
      </w:r>
      <w:r>
        <w:rPr>
          <w:sz w:val="20"/>
          <w:szCs w:val="20"/>
          <w:vertAlign w:val="subscript"/>
          <w:lang w:val="en-US"/>
        </w:rPr>
        <w:t>2</w:t>
      </w:r>
      <w:r w:rsidRPr="00116D77">
        <w:rPr>
          <w:sz w:val="20"/>
          <w:szCs w:val="20"/>
          <w:lang w:val="en-US"/>
        </w:rPr>
        <w:t xml:space="preserve"> </w:t>
      </w:r>
      <w:r>
        <w:rPr>
          <w:sz w:val="20"/>
          <w:szCs w:val="20"/>
          <w:lang w:val="en-US"/>
        </w:rPr>
        <w:t>and the mean PaO</w:t>
      </w:r>
      <w:r w:rsidR="00FF6CAB">
        <w:rPr>
          <w:sz w:val="20"/>
          <w:szCs w:val="20"/>
          <w:vertAlign w:val="subscript"/>
          <w:lang w:val="en-US"/>
        </w:rPr>
        <w:t xml:space="preserve">2 </w:t>
      </w:r>
      <w:r w:rsidR="00FF6CAB">
        <w:rPr>
          <w:sz w:val="20"/>
          <w:szCs w:val="20"/>
          <w:lang w:val="en-US"/>
        </w:rPr>
        <w:t>over</w:t>
      </w:r>
      <w:r>
        <w:rPr>
          <w:sz w:val="20"/>
          <w:szCs w:val="20"/>
          <w:lang w:val="en-US"/>
        </w:rPr>
        <w:t xml:space="preserve"> 48 </w:t>
      </w:r>
      <w:r w:rsidR="00FF6CAB">
        <w:rPr>
          <w:sz w:val="20"/>
          <w:szCs w:val="20"/>
          <w:lang w:val="en-US"/>
        </w:rPr>
        <w:t>h were</w:t>
      </w:r>
      <w:r>
        <w:rPr>
          <w:sz w:val="20"/>
          <w:szCs w:val="20"/>
          <w:lang w:val="en-US"/>
        </w:rPr>
        <w:t xml:space="preserve"> calculated for a 10-point increment in PaO</w:t>
      </w:r>
      <w:r>
        <w:rPr>
          <w:sz w:val="20"/>
          <w:szCs w:val="20"/>
          <w:vertAlign w:val="subscript"/>
          <w:lang w:val="en-US"/>
        </w:rPr>
        <w:t>2</w:t>
      </w:r>
      <w:r>
        <w:rPr>
          <w:sz w:val="20"/>
          <w:szCs w:val="20"/>
          <w:lang w:val="en-US"/>
        </w:rPr>
        <w:t xml:space="preserve">. </w:t>
      </w:r>
      <w:r>
        <w:rPr>
          <w:sz w:val="20"/>
          <w:szCs w:val="20"/>
          <w:vertAlign w:val="superscript"/>
          <w:lang w:val="en-US"/>
        </w:rPr>
        <w:t>b</w:t>
      </w:r>
      <w:r>
        <w:rPr>
          <w:sz w:val="20"/>
          <w:szCs w:val="20"/>
          <w:lang w:val="en-US"/>
        </w:rPr>
        <w:t xml:space="preserve">: The mean daily peak </w:t>
      </w:r>
      <w:r w:rsidRPr="00B64E47">
        <w:rPr>
          <w:sz w:val="20"/>
          <w:szCs w:val="20"/>
          <w:lang w:val="en-US"/>
        </w:rPr>
        <w:t>PaO</w:t>
      </w:r>
      <w:r w:rsidRPr="00B64E47">
        <w:rPr>
          <w:sz w:val="20"/>
          <w:szCs w:val="20"/>
          <w:vertAlign w:val="subscript"/>
          <w:lang w:val="en-US"/>
        </w:rPr>
        <w:t>2</w:t>
      </w:r>
      <w:r w:rsidRPr="00B64E47">
        <w:rPr>
          <w:sz w:val="20"/>
          <w:szCs w:val="20"/>
          <w:lang w:val="en-US"/>
        </w:rPr>
        <w:t xml:space="preserve"> is the </w:t>
      </w:r>
      <w:r>
        <w:rPr>
          <w:sz w:val="20"/>
          <w:szCs w:val="20"/>
          <w:lang w:val="en-US"/>
        </w:rPr>
        <w:t>mean</w:t>
      </w:r>
      <w:r w:rsidRPr="00B64E47">
        <w:rPr>
          <w:sz w:val="20"/>
          <w:szCs w:val="20"/>
          <w:lang w:val="en-US"/>
        </w:rPr>
        <w:t xml:space="preserve"> of the </w:t>
      </w:r>
      <w:r w:rsidR="00FF6CAB">
        <w:rPr>
          <w:sz w:val="20"/>
          <w:szCs w:val="20"/>
          <w:lang w:val="en-US"/>
        </w:rPr>
        <w:t>three-daily</w:t>
      </w:r>
      <w:r w:rsidRPr="00B64E47">
        <w:rPr>
          <w:sz w:val="20"/>
          <w:szCs w:val="20"/>
          <w:lang w:val="en-US"/>
        </w:rPr>
        <w:t xml:space="preserve"> </w:t>
      </w:r>
      <w:r>
        <w:rPr>
          <w:sz w:val="20"/>
          <w:szCs w:val="20"/>
          <w:lang w:val="en-US"/>
        </w:rPr>
        <w:t xml:space="preserve">peak </w:t>
      </w:r>
      <w:r w:rsidRPr="00B64E47">
        <w:rPr>
          <w:sz w:val="20"/>
          <w:szCs w:val="20"/>
          <w:lang w:val="en-US"/>
        </w:rPr>
        <w:t>PaO</w:t>
      </w:r>
      <w:r w:rsidRPr="00B64E47">
        <w:rPr>
          <w:sz w:val="20"/>
          <w:szCs w:val="20"/>
          <w:vertAlign w:val="subscript"/>
          <w:lang w:val="en-US"/>
        </w:rPr>
        <w:t>2</w:t>
      </w:r>
      <w:r>
        <w:rPr>
          <w:sz w:val="20"/>
          <w:szCs w:val="20"/>
          <w:lang w:val="en-US"/>
        </w:rPr>
        <w:t xml:space="preserve"> values (measured on admission (Day 0), Day 1 and</w:t>
      </w:r>
      <w:r w:rsidRPr="00B64E47">
        <w:rPr>
          <w:sz w:val="20"/>
          <w:szCs w:val="20"/>
          <w:lang w:val="en-US"/>
        </w:rPr>
        <w:t xml:space="preserve"> Day 2</w:t>
      </w:r>
      <w:r>
        <w:rPr>
          <w:sz w:val="20"/>
          <w:szCs w:val="20"/>
          <w:lang w:val="en-US"/>
        </w:rPr>
        <w:t xml:space="preserve">). </w:t>
      </w:r>
      <w:r>
        <w:rPr>
          <w:sz w:val="20"/>
          <w:szCs w:val="20"/>
          <w:vertAlign w:val="superscript"/>
          <w:lang w:val="en-US"/>
        </w:rPr>
        <w:t>c</w:t>
      </w:r>
      <w:r>
        <w:rPr>
          <w:sz w:val="20"/>
          <w:szCs w:val="20"/>
          <w:lang w:val="en-US"/>
        </w:rPr>
        <w:t xml:space="preserve">: </w:t>
      </w:r>
      <w:bookmarkStart w:id="1" w:name="_GoBack"/>
      <w:bookmarkEnd w:id="1"/>
      <w:r w:rsidRPr="00F835C2">
        <w:rPr>
          <w:sz w:val="20"/>
          <w:szCs w:val="20"/>
          <w:lang w:val="en-US"/>
        </w:rPr>
        <w:t>The mean PaO</w:t>
      </w:r>
      <w:r w:rsidRPr="00F835C2">
        <w:rPr>
          <w:sz w:val="20"/>
          <w:szCs w:val="20"/>
          <w:vertAlign w:val="subscript"/>
          <w:lang w:val="en-US"/>
        </w:rPr>
        <w:t>2</w:t>
      </w:r>
      <w:r w:rsidRPr="00F835C2">
        <w:rPr>
          <w:sz w:val="20"/>
          <w:szCs w:val="20"/>
          <w:lang w:val="en-US"/>
        </w:rPr>
        <w:t xml:space="preserve"> over 48 h is the mean of all PaO</w:t>
      </w:r>
      <w:r w:rsidRPr="00F835C2">
        <w:rPr>
          <w:sz w:val="20"/>
          <w:szCs w:val="20"/>
          <w:vertAlign w:val="subscript"/>
          <w:lang w:val="en-US"/>
        </w:rPr>
        <w:t>2</w:t>
      </w:r>
      <w:r w:rsidRPr="00F835C2">
        <w:rPr>
          <w:sz w:val="20"/>
          <w:szCs w:val="20"/>
          <w:lang w:val="en-US"/>
        </w:rPr>
        <w:t xml:space="preserve"> values measured between admission and Day 2.</w:t>
      </w:r>
    </w:p>
    <w:p w14:paraId="21C742D7" w14:textId="77777777" w:rsidR="0057643D" w:rsidRPr="00971958" w:rsidRDefault="0057643D">
      <w:pPr>
        <w:rPr>
          <w:lang w:val="en-US"/>
        </w:rPr>
      </w:pPr>
    </w:p>
    <w:sectPr w:rsidR="0057643D" w:rsidRPr="00971958" w:rsidSect="007712C4">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1958"/>
    <w:rsid w:val="00023D5B"/>
    <w:rsid w:val="001D7A1C"/>
    <w:rsid w:val="00490EE6"/>
    <w:rsid w:val="004C2B3A"/>
    <w:rsid w:val="0057643D"/>
    <w:rsid w:val="005B4A9F"/>
    <w:rsid w:val="00751D6C"/>
    <w:rsid w:val="007712C4"/>
    <w:rsid w:val="008E43C6"/>
    <w:rsid w:val="00971958"/>
    <w:rsid w:val="009956A2"/>
    <w:rsid w:val="009C742B"/>
    <w:rsid w:val="00A0781C"/>
    <w:rsid w:val="00A455BD"/>
    <w:rsid w:val="00B15EA5"/>
    <w:rsid w:val="00B637B7"/>
    <w:rsid w:val="00DD12A5"/>
    <w:rsid w:val="00DF2FD6"/>
    <w:rsid w:val="00E54A21"/>
    <w:rsid w:val="00EC06CF"/>
    <w:rsid w:val="00F835C2"/>
    <w:rsid w:val="00FF6CA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EFFF38"/>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71958"/>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97195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vision">
    <w:name w:val="Revision"/>
    <w:hidden/>
    <w:uiPriority w:val="99"/>
    <w:semiHidden/>
    <w:rsid w:val="00A0781C"/>
  </w:style>
  <w:style w:type="paragraph" w:styleId="Textedebulles">
    <w:name w:val="Balloon Text"/>
    <w:basedOn w:val="Normal"/>
    <w:link w:val="TextedebullesCar"/>
    <w:uiPriority w:val="99"/>
    <w:semiHidden/>
    <w:unhideWhenUsed/>
    <w:rsid w:val="00FF6CAB"/>
    <w:rPr>
      <w:rFonts w:ascii="Times New Roman" w:hAnsi="Times New Roman" w:cs="Times New Roman"/>
      <w:sz w:val="18"/>
      <w:szCs w:val="18"/>
    </w:rPr>
  </w:style>
  <w:style w:type="character" w:customStyle="1" w:styleId="TextedebullesCar">
    <w:name w:val="Texte de bulles Car"/>
    <w:basedOn w:val="Policepardfaut"/>
    <w:link w:val="Textedebulles"/>
    <w:uiPriority w:val="99"/>
    <w:semiHidden/>
    <w:rsid w:val="00FF6CAB"/>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201</Words>
  <Characters>1111</Characters>
  <Application>Microsoft Macintosh Word</Application>
  <DocSecurity>0</DocSecurity>
  <Lines>9</Lines>
  <Paragraphs>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Utilisateur de Microsoft Office</dc:creator>
  <cp:keywords/>
  <dc:description/>
  <cp:lastModifiedBy>Utilisateur de Microsoft Office</cp:lastModifiedBy>
  <cp:revision>3</cp:revision>
  <dcterms:created xsi:type="dcterms:W3CDTF">2022-01-24T15:33:00Z</dcterms:created>
  <dcterms:modified xsi:type="dcterms:W3CDTF">2022-02-08T18:06:00Z</dcterms:modified>
</cp:coreProperties>
</file>